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Гериатрия - кейс 2</w:t>
      </w:r>
    </w:p>
    <w:p>
      <w:pPr>
        <w:jc w:val="center"/>
      </w:pPr>
      <w:r>
        <w:rPr>
          <w:sz w:val="24"/>
        </w:rPr>
        <w:t>Materials for the selected specialty</w:t>
      </w:r>
    </w:p>
    <w:p>
      <w:pPr>
        <w:jc w:val="center"/>
      </w:pPr>
      <w:r>
        <w:rPr>
          <w:i/>
        </w:rPr>
        <w:t>Тип: Кейсы | Образование: Высшее образование | Специализация: Гериатрия | Записей: 1 | Кейс: 2 | Вопросов: 12</w:t>
      </w:r>
    </w:p>
    <w:p>
      <w:r>
        <w:br w:type="page"/>
      </w:r>
    </w:p>
    <w:p>
      <w:pPr>
        <w:pStyle w:val="Heading1"/>
      </w:pPr>
      <w:r>
        <w:t>Гериатрия - кейс 2</w:t>
      </w:r>
    </w:p>
    <w:p>
      <w:r>
        <w:rPr>
          <w:b/>
        </w:rPr>
        <w:t xml:space="preserve">Образование: </w:t>
      </w:r>
      <w:r>
        <w:t>Высшее образование</w:t>
      </w:r>
      <w:r>
        <w:rPr>
          <w:b/>
        </w:rPr>
        <w:t xml:space="preserve"> | Специализация: </w:t>
      </w:r>
      <w:r>
        <w:t>Гериатрия</w:t>
      </w:r>
    </w:p>
    <w:p>
      <w:pPr>
        <w:pStyle w:val="Heading2"/>
      </w:pPr>
      <w:r>
        <w:t>1. УСЛОВИЕ СИТУАЦИОННОЙ ЗАДАЧИ</w:t>
      </w:r>
    </w:p>
    <w:p>
      <w:pPr>
        <w:pStyle w:val="Heading3"/>
      </w:pPr>
      <w:r>
        <w:t>1.1. Ситуация</w:t>
      </w:r>
    </w:p>
    <w:p>
      <w:pPr>
        <w:spacing w:after="58"/>
      </w:pPr>
      <w:r>
        <w:rPr>
          <w:b w:val="0"/>
          <w:i w:val="0"/>
        </w:rPr>
        <w:t>Женщина 61 лет обратилась к врачу-гериатру.</w:t>
      </w:r>
    </w:p>
    <w:p>
      <w:pPr>
        <w:pStyle w:val="Heading3"/>
      </w:pPr>
      <w:r>
        <w:t>1.2. Жалобы</w:t>
      </w:r>
    </w:p>
    <w:p>
      <w:pPr>
        <w:spacing w:after="58"/>
      </w:pPr>
      <w:r>
        <w:rPr>
          <w:b w:val="0"/>
          <w:i w:val="0"/>
        </w:rPr>
        <w:t>На кожный зуд; сухость и желтушность кожных покровов; выраженную утомляемость; слабость; тянущие боли в правом подреберье; повышенное газообразование; неоформленный (кашицеобразный) стул 2-3 раза в день; тянущие боли в крупных суставах в вечерние и ночные часы; нарушение сна.</w:t>
      </w:r>
    </w:p>
    <w:p>
      <w:pPr>
        <w:pStyle w:val="Heading3"/>
      </w:pPr>
      <w:r>
        <w:t>1.3. Анамнез заболевания</w:t>
      </w:r>
    </w:p>
    <w:p>
      <w:pPr>
        <w:spacing w:after="58"/>
      </w:pPr>
      <w:r>
        <w:rPr>
          <w:b w:val="0"/>
          <w:i w:val="0"/>
        </w:rPr>
        <w:t>Считает себя больной в течение последних 5 лет, когда впервые отметила появление непостоянного кожного зуда, усиливающегося к вечеру и тяжесть в правом подреберье. По поводу кожного зуда обращалась к дерматологу, которым эти симптомы расценены как проявления аллергического дерматита. На назначенную дерматологом терапию стойкого положительного эффекта не отметила. В течение последних 2 лет кожный зуд сохранялся, стали появляться периодические тянущие боли в правом подреберье с иррадиацией в спину, тошнота, послабление стула, эпизодические боли в пояснице, общая слабость. Будучи медицинским работником (работает врачом-физиотерапевтом) расценила их как симптомы дискинезии желчевыводящих путей, по поводу чего самостоятельно принимала но-шпу, эссенциале с незначительным эффектом.</w:t>
      </w:r>
    </w:p>
    <w:p>
      <w:pPr>
        <w:spacing w:after="58"/>
      </w:pPr>
      <w:r>
        <w:rPr>
          <w:b w:val="0"/>
          <w:i w:val="0"/>
        </w:rPr>
        <w:t>В течение последнего месяца стала отмечать усиление кожного зуда, обратила внимание на потемнение мочи, осветление неоформленного (кашицеобразного) кала, желтушность склер и кожных покровов, что и послужило поводом для обращения к врачу.</w:t>
      </w:r>
    </w:p>
    <w:p>
      <w:pPr>
        <w:pStyle w:val="Heading3"/>
      </w:pPr>
      <w:r>
        <w:t>1.4. Анамнез жизни</w:t>
      </w:r>
    </w:p>
    <w:p>
      <w:pPr>
        <w:spacing w:after="58"/>
      </w:pPr>
      <w:r>
        <w:rPr>
          <w:b w:val="0"/>
          <w:i w:val="0"/>
        </w:rPr>
        <w:t>* Перенесенные заболевания: детские инфекции, ОРВИ; 4 года назад диагностирован аутоиммунный тиреоидит, эутиреоидное состояние;</w:t>
      </w:r>
    </w:p>
    <w:p>
      <w:pPr>
        <w:spacing w:after="58"/>
      </w:pPr>
      <w:r>
        <w:rPr>
          <w:b w:val="0"/>
          <w:i w:val="0"/>
        </w:rPr>
        <w:t>* вредные привычки: курение, злоупотребление алкогольными напитками, прием наркотиков отрицает;</w:t>
      </w:r>
    </w:p>
    <w:p>
      <w:pPr>
        <w:spacing w:after="58"/>
      </w:pPr>
      <w:r>
        <w:rPr>
          <w:b w:val="0"/>
          <w:i w:val="0"/>
        </w:rPr>
        <w:t>* заболевание острыми гепатитами отрицает, переливаний крови не проводилось; лекарств постоянно не принимает; наследственный анамнез не отягощен;</w:t>
      </w:r>
    </w:p>
    <w:p>
      <w:pPr>
        <w:spacing w:after="58"/>
      </w:pPr>
      <w:r>
        <w:rPr>
          <w:b w:val="0"/>
          <w:i w:val="0"/>
        </w:rPr>
        <w:t>* профессиональных вредностей не имела;</w:t>
      </w:r>
    </w:p>
    <w:p>
      <w:pPr>
        <w:spacing w:after="58"/>
      </w:pPr>
      <w:r>
        <w:rPr>
          <w:b w:val="0"/>
          <w:i w:val="0"/>
        </w:rPr>
        <w:t>* аллергоанамнез – аллергические реакции по типу «крапивницы» на препараты пенициллинового ряда.</w:t>
      </w:r>
    </w:p>
    <w:p>
      <w:pPr>
        <w:pStyle w:val="Heading3"/>
      </w:pPr>
      <w:r>
        <w:t>1.5. Объективный статус</w:t>
      </w:r>
    </w:p>
    <w:p>
      <w:pPr>
        <w:spacing w:after="58"/>
      </w:pPr>
      <w:r>
        <w:rPr>
          <w:b w:val="0"/>
          <w:i w:val="0"/>
        </w:rPr>
        <w:t>* Состояние средней тяжести.</w:t>
      </w:r>
    </w:p>
    <w:p>
      <w:pPr>
        <w:spacing w:after="58"/>
      </w:pPr>
      <w:r>
        <w:rPr>
          <w:b w:val="0"/>
          <w:i w:val="0"/>
        </w:rPr>
        <w:t>* Нормостенического телосложения, удовлетворительного питания. Рост 159 см, вес 62 кг. Индекс массы тела – 24,5 кг/м2, окружность талии – 82 см. Склеры и видимые слизистые иктеричны. Кожные покровы сухие, желтушные, со следами расчесов, на веках ксантелазмы, гиперпигментация век, пальмарная эритема. Температура тела – 36,7оС. Область суставов не изменена, движения в полном объеме. Периферические лимфатические узлы не пальпируются. Отеков нет. Ориентируется во времени, месте, ситуации, заторможена. Общемозговой и очаговой неврологической симптоматики нет.</w:t>
      </w:r>
    </w:p>
    <w:p>
      <w:pPr>
        <w:spacing w:after="58"/>
      </w:pPr>
      <w:r>
        <w:rPr>
          <w:b w:val="0"/>
          <w:i w:val="0"/>
        </w:rPr>
        <w:t>* Дыхание через нос свободное. Грудная клетка правильной формы, симметричная. Голосовое дрожание одинаковое на симметричных участках грудной клетки. При перкуссии над всей грудной клеткой в проекции легких определяется ясный легочный перкуторный звук. При аускультации дыхание везикулярное, хрипов нет, ЧДД 16 в мин.</w:t>
      </w:r>
    </w:p>
    <w:p>
      <w:pPr>
        <w:spacing w:after="58"/>
      </w:pPr>
      <w:r>
        <w:rPr>
          <w:b w:val="0"/>
          <w:i w:val="0"/>
        </w:rPr>
        <w:t>* Границы сердца перкуторно не расширены, тоны сердца ясные, ритм правильный, на верхушке сердца 1 тон ослаблен, ЧСС – 96 ударов в мин., АД – 120/70 мм. рт. ст.</w:t>
      </w:r>
    </w:p>
    <w:p>
      <w:pPr>
        <w:spacing w:after="58"/>
      </w:pPr>
      <w:r>
        <w:rPr>
          <w:b w:val="0"/>
          <w:i w:val="0"/>
        </w:rPr>
        <w:t>* Язык влажный, обложен белым налетом. Живот симметричный, увеличен в объеме, отмечается притупление перкуторного звука в боковых отделах (асцит), при пальпации умеренно болезненный по ходу ободочной кишки, урчит. Печень выступает из-под края реберной дуги по правой срединно-ключичной линии на 4 см, край печени плотный, закругленный, безболезненный. Нижний полюс селезенки выступает из-под края реберной дуги на 2 см, край её плотный, безболезненный. Перитонеальных симптомов нет. Пальпация в проекции дна желчного пузыря безболезненная, симптомы Мерфи, Кера, Ортнера – отрицательные.</w:t>
      </w:r>
    </w:p>
    <w:p>
      <w:pPr>
        <w:spacing w:after="58"/>
      </w:pPr>
      <w:r>
        <w:rPr>
          <w:b w:val="0"/>
          <w:i w:val="0"/>
        </w:rPr>
        <w:t>* Поколачивание по поясничной области безболезненно с обеих сторон. Мочеиспускание самостоятельное, в достаточном количестве, дизурии нет.</w:t>
      </w:r>
    </w:p>
    <w:p>
      <w:pPr>
        <w:pStyle w:val="Heading2"/>
      </w:pPr>
      <w:r>
        <w:t>1. План обследования</w:t>
      </w:r>
    </w:p>
    <w:p>
      <w:r>
        <w:rPr>
          <w:b/>
          <w:color w:val="0F766E"/>
        </w:rPr>
        <w:t>1. Вопрос</w:t>
      </w:r>
    </w:p>
    <w:p>
      <w:r>
        <w:rPr>
          <w:b w:val="0"/>
          <w:i w:val="0"/>
        </w:rPr>
        <w:t>Необходимыми для постановки диагноза исследованиями являются</w:t>
      </w:r>
    </w:p>
    <w:p>
      <w:pPr>
        <w:pStyle w:val="ListBullet"/>
      </w:pPr>
      <w:r>
        <w:rPr>
          <w:b/>
        </w:rPr>
        <w:t xml:space="preserve">1. </w:t>
      </w:r>
      <w:r>
        <w:rPr>
          <w:b/>
          <w:i w:val="0"/>
          <w:color w:val="0F766E"/>
          <w:highlight w:val="yellow"/>
        </w:rPr>
        <w:t>УЗИ органов брюшной полости</w:t>
      </w:r>
    </w:p>
    <w:p>
      <w:pPr>
        <w:pStyle w:val="ListBullet"/>
      </w:pPr>
      <w:r>
        <w:rPr>
          <w:b/>
        </w:rPr>
        <w:t xml:space="preserve">2. </w:t>
      </w:r>
      <w:r>
        <w:rPr>
          <w:b/>
          <w:i w:val="0"/>
          <w:color w:val="0F766E"/>
          <w:highlight w:val="yellow"/>
        </w:rPr>
        <w:t>общий анализ мочи</w:t>
      </w:r>
    </w:p>
    <w:p>
      <w:pPr>
        <w:pStyle w:val="ListBullet"/>
      </w:pPr>
      <w:r>
        <w:rPr>
          <w:b/>
        </w:rPr>
        <w:t xml:space="preserve">3. </w:t>
      </w:r>
      <w:r>
        <w:rPr>
          <w:b w:val="0"/>
          <w:i w:val="0"/>
        </w:rPr>
        <w:t>колонофиброскопия</w:t>
      </w:r>
    </w:p>
    <w:p>
      <w:pPr>
        <w:pStyle w:val="ListBullet"/>
      </w:pPr>
      <w:r>
        <w:rPr>
          <w:b/>
        </w:rPr>
        <w:t xml:space="preserve">4. </w:t>
      </w:r>
      <w:r>
        <w:rPr>
          <w:b/>
          <w:i w:val="0"/>
          <w:color w:val="0F766E"/>
          <w:highlight w:val="yellow"/>
        </w:rPr>
        <w:t>эзофагогастродуоденоскопия</w:t>
      </w:r>
    </w:p>
    <w:p>
      <w:pPr>
        <w:pStyle w:val="ListBullet"/>
      </w:pPr>
      <w:r>
        <w:rPr>
          <w:b/>
        </w:rPr>
        <w:t xml:space="preserve">5. </w:t>
      </w:r>
      <w:r>
        <w:rPr>
          <w:b/>
          <w:i w:val="0"/>
          <w:color w:val="0F766E"/>
          <w:highlight w:val="yellow"/>
        </w:rPr>
        <w:t>клинический анализ крови</w:t>
      </w:r>
    </w:p>
    <w:p>
      <w:pPr>
        <w:pStyle w:val="ListBullet"/>
      </w:pPr>
      <w:r>
        <w:rPr>
          <w:b/>
        </w:rPr>
        <w:t xml:space="preserve">6. </w:t>
      </w:r>
      <w:r>
        <w:rPr>
          <w:b/>
          <w:i w:val="0"/>
          <w:color w:val="0F766E"/>
          <w:highlight w:val="yellow"/>
        </w:rPr>
        <w:t>диагностический абдоминальный парацентез с цитологическим и биохимическим исследованием асцитической жидкости</w:t>
      </w:r>
    </w:p>
    <w:p>
      <w:pPr>
        <w:ind w:left="288"/>
      </w:pPr>
      <w:r>
        <w:rPr>
          <w:b/>
          <w:color w:val="0F766E"/>
          <w:highlight w:val="yellow"/>
        </w:rPr>
        <w:t xml:space="preserve">Правильные ответы: </w:t>
      </w:r>
      <w:r>
        <w:rPr>
          <w:b/>
          <w:i w:val="0"/>
        </w:rPr>
        <w:t>УЗИ органов брюшной полости; общий анализ мочи; эзофагогастродуоденоскопия; клинический анализ крови; диагностический абдоминальный парацентез с цитологическим и биохимическим исследованием асцитической жидкости</w:t>
      </w:r>
    </w:p>
    <w:p>
      <w:pPr>
        <w:ind w:left="504"/>
      </w:pPr>
      <w:r>
        <w:rPr>
          <w:b w:val="0"/>
          <w:i/>
        </w:rPr>
        <w:t>Трансабдоминальное ультразвуковое исследование (УЗИ) позволяет изучить состояние печени, селезенки, билиарного тракта, поджелудочной железы, почек, оценить диаметр, просвет сосудов брюшной полости и кровоток по ним, выявить свободную жидкость в брюшной полости, в некоторых случаях — исключить хирургическую и гинекологическую патологию.</w:t>
        <w:br/>
        <w:br/>
      </w:r>
      <w:hyperlink r:id="rId9">
        <w:r>
          <w:rPr>
            <w:color w:val="0F766E"/>
            <w:u w:val="single"/>
          </w:rPr>
          <w:t>Клинические рекомендации Минздрава России. Цирроз и фиброз печени, 2021</w:t>
        </w:r>
      </w:hyperlink>
      <w:r>
        <w:rPr>
          <w:b w:val="0"/>
          <w:i/>
        </w:rPr>
        <w:br/>
        <w:br/>
      </w:r>
      <w:hyperlink r:id="rId10">
        <w:r>
          <w:rPr>
            <w:color w:val="0F766E"/>
            <w:u w:val="single"/>
          </w:rPr>
          <w:t>(1)</w:t>
        </w:r>
      </w:hyperlink>
    </w:p>
    <w:p>
      <w:pPr>
        <w:ind w:left="504"/>
      </w:pPr>
      <w:r>
        <w:rPr>
          <w:b w:val="0"/>
          <w:i/>
        </w:rPr>
        <w:t>Учитывая появление желтухи, потемнения мочи и осветление кала, свидетельствующие о развитии синдрома холестаза, для дифференциальной диагностики желтухи показано исследование общего анализа мочи.</w:t>
        <w:br/>
        <w:br/>
      </w:r>
      <w:hyperlink r:id="rId9">
        <w:r>
          <w:rPr>
            <w:color w:val="0F766E"/>
            <w:u w:val="single"/>
          </w:rPr>
          <w:t>Клинические рекомендации Минздрава России. Цирроз и фиброз печени, 2021</w:t>
        </w:r>
      </w:hyperlink>
      <w:r>
        <w:rPr>
          <w:b w:val="0"/>
          <w:i/>
        </w:rPr>
        <w:br/>
        <w:br/>
      </w:r>
      <w:hyperlink r:id="rId11">
        <w:r>
          <w:rPr>
            <w:color w:val="0F766E"/>
            <w:u w:val="single"/>
          </w:rPr>
          <w:t>(1)</w:t>
        </w:r>
      </w:hyperlink>
    </w:p>
    <w:p>
      <w:pPr>
        <w:ind w:left="504"/>
      </w:pPr>
      <w:r>
        <w:rPr>
          <w:b w:val="0"/>
          <w:i/>
        </w:rPr>
        <w:t>Эзофагогастродуоденоскопия является скрининговым методом диагностики, позволяющим выявить патологические изменения со стороны слизистой оболочки верхних отделов желудочно-кишечного тракта, оценить состояние Фатерова соска, портокавальных анастомозов в кардиоэзофагеальной зоне, наличие осложнений портальной гипертензии.</w:t>
        <w:br/>
        <w:br/>
      </w:r>
      <w:hyperlink r:id="rId9">
        <w:r>
          <w:rPr>
            <w:color w:val="0F766E"/>
            <w:u w:val="single"/>
          </w:rPr>
          <w:t>Клинические рекомендации Минздрава России. Цирроз и фиброз печени, 2021</w:t>
        </w:r>
      </w:hyperlink>
      <w:r>
        <w:rPr>
          <w:b w:val="0"/>
          <w:i/>
        </w:rPr>
        <w:br/>
        <w:br/>
      </w:r>
      <w:hyperlink r:id="rId12">
        <w:r>
          <w:rPr>
            <w:color w:val="0F766E"/>
            <w:u w:val="single"/>
          </w:rPr>
          <w:t>(1)</w:t>
        </w:r>
      </w:hyperlink>
    </w:p>
    <w:p>
      <w:pPr>
        <w:ind w:left="504"/>
      </w:pPr>
      <w:r>
        <w:rPr>
          <w:b w:val="0"/>
          <w:i/>
        </w:rPr>
        <w:t>Клинический анализ крови используется в дифференциальной диагностике видов желтухи, позволяет исключить наличие таких осложнений цирроза печени, как состоявшееся кровотечение из варикозно расширенных вен пищевода (признаки постгеморрагической железодефицитной анемии), гиперспленизм (панцитопения).</w:t>
        <w:br/>
        <w:br/>
      </w:r>
      <w:hyperlink r:id="rId9">
        <w:r>
          <w:rPr>
            <w:color w:val="0F766E"/>
            <w:u w:val="single"/>
          </w:rPr>
          <w:t>Клинические рекомендации Минздрава России. Цирроз и фиброз печени, 2021</w:t>
        </w:r>
      </w:hyperlink>
      <w:r>
        <w:rPr>
          <w:b w:val="0"/>
          <w:i/>
        </w:rPr>
        <w:br/>
        <w:br/>
      </w:r>
      <w:hyperlink r:id="rId13">
        <w:r>
          <w:rPr>
            <w:color w:val="0F766E"/>
            <w:u w:val="single"/>
          </w:rPr>
          <w:t>(1)</w:t>
        </w:r>
      </w:hyperlink>
    </w:p>
    <w:p>
      <w:pPr>
        <w:ind w:left="504"/>
      </w:pPr>
      <w:r>
        <w:rPr>
          <w:b w:val="0"/>
          <w:i/>
        </w:rPr>
        <w:t>Первичное обращение к врачу пациента с асцитом является показанием к проведению диагностического абдоминального парацентеза с целью выявления его этиологии. Показатели цитологического и биохимического исследования асцитической жидкости в пределах референсных значений свидетельствуют о наличии портального асцита (транссудата в брюшной полости).</w:t>
        <w:br/>
        <w:br/>
      </w:r>
      <w:hyperlink r:id="rId9">
        <w:r>
          <w:rPr>
            <w:color w:val="0F766E"/>
            <w:u w:val="single"/>
          </w:rPr>
          <w:t>Клинические рекомендации Минздрава России. Цирроз и фиброз печени, 2021</w:t>
        </w:r>
      </w:hyperlink>
      <w:r>
        <w:rPr>
          <w:b w:val="0"/>
          <w:i/>
        </w:rPr>
        <w:br/>
        <w:br/>
      </w:r>
      <w:hyperlink r:id="rId14">
        <w:r>
          <w:rPr>
            <w:color w:val="0F766E"/>
            <w:u w:val="single"/>
          </w:rPr>
          <w:t>(1)</w:t>
        </w:r>
      </w:hyperlink>
    </w:p>
    <w:p>
      <w:pPr>
        <w:pStyle w:val="Heading2"/>
      </w:pPr>
      <w:r>
        <w:t>3. Результаты обследования</w:t>
      </w:r>
    </w:p>
    <w:p>
      <w:pPr>
        <w:pStyle w:val="Heading3"/>
      </w:pPr>
      <w:r>
        <w:t>3.1. УЗИ органов брюшной полости</w:t>
      </w:r>
    </w:p>
    <w:p>
      <w:pPr>
        <w:spacing w:after="58"/>
      </w:pPr>
      <w:r>
        <w:rPr>
          <w:b w:val="0"/>
          <w:i w:val="0"/>
        </w:rPr>
        <w:t>Размеры печени увеличены, толщина правой доли до 172 мм (норма до 140 мм), левой доли 90 мм (норма до 70 мм), структура диффузно неоднородна, мелкие участки повышенной эхогенности. Контуры неровные, четкие, местами уплотнены. Диаметр воротной вены составляет 16 мм (норма до 15 мм). Диаметр холедоха – 3 мм. Желчный пузырь не увеличен, размерами 20х70 мм, толщина стенки не увеличена – 2 мм; в полости конкрементов не выявлено. Размеры поджелудочной железы не увеличены: головка 25 мм, тело 11 мм, хвост 15 мм, контуры ровные, четкие, уплотнены, структура средней эхогенности, однородная. Вирсунгов проток не расширен (2 мм). Селезенка размерами 80х50 мм, площадь 70 см2 (норма до 55 см2), контуры ровные, четкие, однородной структуры, диаметр селезеночной вены 9 мм (норма до 8 мм). В брюшной полости лоцируется свободная жидкость. Почки расположены в обычном месте, конкрементов нет, чашечно-лоханочная система не расширена.</w:t>
      </w:r>
    </w:p>
    <w:p>
      <w:pPr>
        <w:pStyle w:val="Heading3"/>
      </w:pPr>
      <w:r>
        <w:t>3.2. Эзофагогастродуоденоскопия</w:t>
      </w:r>
    </w:p>
    <w:p>
      <w:pPr>
        <w:spacing w:after="58"/>
      </w:pPr>
      <w:r>
        <w:rPr>
          <w:b w:val="0"/>
          <w:i w:val="0"/>
        </w:rPr>
        <w:t>Пищевод свободно проходим, слизистая его не изменена, вены нижней трети пищевода расширены с формированием единичных выступающих в просвет пищевода узлов. Розетка кардии смыкается полностью. Зубчатая линия на уровне пищеводного отверстия диафрагмы. В желудке умеренное количество слизи. Складки слизистой оболочки желудка обычного калибра, эластичные, слизистая антрального отдела желудка истончена, прослеживается сосудистый рисунок. Перистальтика во всех отделах прослеживается. Привратник свободно проходим. Луковица 12 перстной кишки не деформирована, слизистая её бледно-розового цвета. Большой дуоденальный сосочек расположен в типичном месте, не увеличен в размере. Заключение: варикозно расширенные вены пищевода II степени.</w:t>
      </w:r>
    </w:p>
    <w:p>
      <w:pPr>
        <w:pStyle w:val="Heading3"/>
      </w:pPr>
      <w:r>
        <w:t>3.3. Диагностический абдоминальный парацентез с цитологическим и биохимическим исследованием асцитической жидкости</w:t>
      </w:r>
    </w:p>
    <w:p>
      <w:r>
        <w:drawing>
          <wp:inline xmlns:a="http://schemas.openxmlformats.org/drawingml/2006/main" xmlns:pic="http://schemas.openxmlformats.org/drawingml/2006/picture">
            <wp:extent cx="5303520" cy="1301020"/>
            <wp:docPr id="1" name="Picture 1"/>
            <wp:cNvGraphicFramePr>
              <a:graphicFrameLocks noChangeAspect="1"/>
            </wp:cNvGraphicFramePr>
            <a:graphic>
              <a:graphicData uri="http://schemas.openxmlformats.org/drawingml/2006/picture">
                <pic:pic>
                  <pic:nvPicPr>
                    <pic:cNvPr id="0" name="0d972b04662fa62fa3ca8e97791e6b8d8bd084a7.jpg"/>
                    <pic:cNvPicPr/>
                  </pic:nvPicPr>
                  <pic:blipFill>
                    <a:blip r:embed="rId15"/>
                    <a:stretch>
                      <a:fillRect/>
                    </a:stretch>
                  </pic:blipFill>
                  <pic:spPr>
                    <a:xfrm>
                      <a:off x="0" y="0"/>
                      <a:ext cx="5303520" cy="1301020"/>
                    </a:xfrm>
                    <a:prstGeom prst="rect"/>
                  </pic:spPr>
                </pic:pic>
              </a:graphicData>
            </a:graphic>
          </wp:inline>
        </w:drawing>
      </w:r>
    </w:p>
    <w:p>
      <w:pPr>
        <w:jc w:val="center"/>
      </w:pPr>
      <w:r>
        <w:rPr>
          <w:i/>
        </w:rPr>
        <w:t>Диагностический абдоминальный парацентез с цитологическим и биохимическим исследованием асцитической жидкости</w:t>
      </w:r>
    </w:p>
    <w:p>
      <w:pPr>
        <w:pStyle w:val="Heading3"/>
      </w:pPr>
      <w:r>
        <w:t>3.4. Клинический анализ крови</w:t>
      </w:r>
    </w:p>
    <w:p>
      <w:r>
        <w:drawing>
          <wp:inline xmlns:a="http://schemas.openxmlformats.org/drawingml/2006/main" xmlns:pic="http://schemas.openxmlformats.org/drawingml/2006/picture">
            <wp:extent cx="5303520" cy="1672207"/>
            <wp:docPr id="2" name="Picture 2"/>
            <wp:cNvGraphicFramePr>
              <a:graphicFrameLocks noChangeAspect="1"/>
            </wp:cNvGraphicFramePr>
            <a:graphic>
              <a:graphicData uri="http://schemas.openxmlformats.org/drawingml/2006/picture">
                <pic:pic>
                  <pic:nvPicPr>
                    <pic:cNvPr id="0" name="74cd93591f84f732398fe2685d09cebad7192ad0.jpg"/>
                    <pic:cNvPicPr/>
                  </pic:nvPicPr>
                  <pic:blipFill>
                    <a:blip r:embed="rId16"/>
                    <a:stretch>
                      <a:fillRect/>
                    </a:stretch>
                  </pic:blipFill>
                  <pic:spPr>
                    <a:xfrm>
                      <a:off x="0" y="0"/>
                      <a:ext cx="5303520" cy="1672207"/>
                    </a:xfrm>
                    <a:prstGeom prst="rect"/>
                  </pic:spPr>
                </pic:pic>
              </a:graphicData>
            </a:graphic>
          </wp:inline>
        </w:drawing>
      </w:r>
    </w:p>
    <w:p>
      <w:pPr>
        <w:jc w:val="center"/>
      </w:pPr>
      <w:r>
        <w:rPr>
          <w:i/>
        </w:rPr>
        <w:t>Клинический анализ крови</w:t>
      </w:r>
    </w:p>
    <w:p>
      <w:pPr>
        <w:pStyle w:val="Heading3"/>
      </w:pPr>
      <w:r>
        <w:t>3.5. Общий анализ мочи</w:t>
      </w:r>
    </w:p>
    <w:p>
      <w:r>
        <w:drawing>
          <wp:inline xmlns:a="http://schemas.openxmlformats.org/drawingml/2006/main" xmlns:pic="http://schemas.openxmlformats.org/drawingml/2006/picture">
            <wp:extent cx="5303520" cy="3386983"/>
            <wp:docPr id="3" name="Picture 3"/>
            <wp:cNvGraphicFramePr>
              <a:graphicFrameLocks noChangeAspect="1"/>
            </wp:cNvGraphicFramePr>
            <a:graphic>
              <a:graphicData uri="http://schemas.openxmlformats.org/drawingml/2006/picture">
                <pic:pic>
                  <pic:nvPicPr>
                    <pic:cNvPr id="0" name="73018b8518de91830aff515719c0c16c33ab1b93.jpg"/>
                    <pic:cNvPicPr/>
                  </pic:nvPicPr>
                  <pic:blipFill>
                    <a:blip r:embed="rId17"/>
                    <a:stretch>
                      <a:fillRect/>
                    </a:stretch>
                  </pic:blipFill>
                  <pic:spPr>
                    <a:xfrm>
                      <a:off x="0" y="0"/>
                      <a:ext cx="5303520" cy="3386983"/>
                    </a:xfrm>
                    <a:prstGeom prst="rect"/>
                  </pic:spPr>
                </pic:pic>
              </a:graphicData>
            </a:graphic>
          </wp:inline>
        </w:drawing>
      </w:r>
    </w:p>
    <w:p>
      <w:pPr>
        <w:jc w:val="center"/>
      </w:pPr>
      <w:r>
        <w:rPr>
          <w:i/>
        </w:rPr>
        <w:t>Общий анализ мочи</w:t>
      </w:r>
    </w:p>
    <w:p>
      <w:pPr>
        <w:pStyle w:val="Heading3"/>
      </w:pPr>
      <w:r>
        <w:t>3.6. Колонофиброскопия</w:t>
      </w:r>
    </w:p>
    <w:p>
      <w:pPr>
        <w:spacing w:after="58"/>
      </w:pPr>
      <w:r>
        <w:rPr>
          <w:b w:val="0"/>
          <w:i w:val="0"/>
        </w:rPr>
        <w:t>Колоноскоп проведен в купол слепой кишки. Просвет толстой кишки сохранен на всем протяжении, складки обычной высоты. Слизистая оболочки толстой кишки во всех отделах гладкая, блестящая, розового цвета, сосудистый рисунок четкий, мелковетвистый, полипов, изъязвлений, контактной кровоточивости слизистой оболочки не выявлено.</w:t>
      </w:r>
    </w:p>
    <w:p>
      <w:r>
        <w:rPr>
          <w:b/>
          <w:color w:val="0F766E"/>
        </w:rPr>
        <w:t>2. Вопрос</w:t>
      </w:r>
    </w:p>
    <w:p>
      <w:r>
        <w:rPr>
          <w:b w:val="0"/>
          <w:i w:val="0"/>
        </w:rPr>
        <w:t>Необходимыми для постановки диагноза методами лабораторной диагностики являются</w:t>
      </w:r>
    </w:p>
    <w:p>
      <w:pPr>
        <w:pStyle w:val="ListBullet"/>
      </w:pPr>
      <w:r>
        <w:rPr>
          <w:b/>
        </w:rPr>
        <w:t xml:space="preserve">1. </w:t>
      </w:r>
      <w:r>
        <w:rPr>
          <w:b/>
          <w:i w:val="0"/>
          <w:color w:val="0F766E"/>
          <w:highlight w:val="yellow"/>
        </w:rPr>
        <w:t>серологическое исследование крови на антимитохондриальные антитела (АМА)</w:t>
      </w:r>
    </w:p>
    <w:p>
      <w:pPr>
        <w:pStyle w:val="ListBullet"/>
      </w:pPr>
      <w:r>
        <w:rPr>
          <w:b/>
        </w:rPr>
        <w:t xml:space="preserve">2. </w:t>
      </w:r>
      <w:r>
        <w:rPr>
          <w:b/>
          <w:i w:val="0"/>
          <w:color w:val="0F766E"/>
          <w:highlight w:val="yellow"/>
        </w:rPr>
        <w:t>исследование белковых фракций сыворотки крови</w:t>
      </w:r>
    </w:p>
    <w:p>
      <w:pPr>
        <w:pStyle w:val="ListBullet"/>
      </w:pPr>
      <w:r>
        <w:rPr>
          <w:b/>
        </w:rPr>
        <w:t xml:space="preserve">3. </w:t>
      </w:r>
      <w:r>
        <w:rPr>
          <w:b/>
          <w:i w:val="0"/>
          <w:color w:val="0F766E"/>
          <w:highlight w:val="yellow"/>
        </w:rPr>
        <w:t>коагулограмма</w:t>
      </w:r>
    </w:p>
    <w:p>
      <w:pPr>
        <w:pStyle w:val="ListBullet"/>
      </w:pPr>
      <w:r>
        <w:rPr>
          <w:b/>
        </w:rPr>
        <w:t xml:space="preserve">4. </w:t>
      </w:r>
      <w:r>
        <w:rPr>
          <w:b w:val="0"/>
          <w:i w:val="0"/>
        </w:rPr>
        <w:t>фекальный кальпротектин</w:t>
      </w:r>
    </w:p>
    <w:p>
      <w:pPr>
        <w:pStyle w:val="ListBullet"/>
      </w:pPr>
      <w:r>
        <w:rPr>
          <w:b/>
        </w:rPr>
        <w:t xml:space="preserve">5. </w:t>
      </w:r>
      <w:r>
        <w:rPr>
          <w:b/>
          <w:i w:val="0"/>
          <w:color w:val="0F766E"/>
          <w:highlight w:val="yellow"/>
        </w:rPr>
        <w:t>биохимическое исследование крови</w:t>
      </w:r>
    </w:p>
    <w:p>
      <w:pPr>
        <w:pStyle w:val="ListBullet"/>
      </w:pPr>
      <w:r>
        <w:rPr>
          <w:b/>
        </w:rPr>
        <w:t xml:space="preserve">6. </w:t>
      </w:r>
      <w:r>
        <w:rPr>
          <w:b/>
          <w:i w:val="0"/>
          <w:color w:val="0F766E"/>
          <w:highlight w:val="yellow"/>
        </w:rPr>
        <w:t>серологическое исследование крови на маркеры вирусных гепатитов</w:t>
      </w:r>
    </w:p>
    <w:p>
      <w:pPr>
        <w:ind w:left="288"/>
      </w:pPr>
      <w:r>
        <w:rPr>
          <w:b/>
          <w:color w:val="0F766E"/>
          <w:highlight w:val="yellow"/>
        </w:rPr>
        <w:t xml:space="preserve">Правильные ответы: </w:t>
      </w:r>
      <w:r>
        <w:rPr>
          <w:b/>
          <w:i w:val="0"/>
        </w:rPr>
        <w:t>серологическое исследование крови на антимитохондриальные антитела (АМА); исследование белковых фракций сыворотки крови; коагулограмма; биохимическое исследование крови; серологическое исследование крови на маркеры вирусных гепатитов</w:t>
      </w:r>
    </w:p>
    <w:p>
      <w:pPr>
        <w:ind w:left="504"/>
      </w:pPr>
      <w:r>
        <w:rPr>
          <w:b w:val="0"/>
          <w:i/>
        </w:rPr>
        <w:t>У взрослых больных с признаками хронического впутрипеченочного холестаза после инструментального обследования с целью выявления его причины следующим шагом является исследование антимитохондриальных антител (АМА) поскольку первичный билиарный цирроз — самая частая причина поражения мелких желчных протоков. Для постановки диагноза первичного билиарного цирроза требуется обнаружение повышенного уровня щелочной фосфатазы и наличие АМА в диагностическом титре ≥1:40 или АМА-М2. В этом случае проведение биопсии печени не является обязательным.</w:t>
        <w:br/>
        <w:br/>
      </w:r>
      <w:hyperlink r:id="rId18">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19">
        <w:r>
          <w:rPr>
            <w:color w:val="0F766E"/>
            <w:u w:val="single"/>
          </w:rPr>
          <w:t>(1)</w:t>
        </w:r>
      </w:hyperlink>
    </w:p>
    <w:p>
      <w:pPr>
        <w:ind w:left="504"/>
      </w:pPr>
      <w:r>
        <w:rPr>
          <w:b w:val="0"/>
          <w:i/>
        </w:rPr>
        <w:t>Исследование белковых фракций сыворотки крови позволяет выявить печеночно-клеточную недостаточность на основании оценки белково-синтетической функции печени, выявить некоторые патогенетические механизмы поражения печени.</w:t>
        <w:br/>
        <w:br/>
      </w:r>
      <w:hyperlink r:id="rId9">
        <w:r>
          <w:rPr>
            <w:color w:val="0F766E"/>
            <w:u w:val="single"/>
          </w:rPr>
          <w:t>Клинические рекомендации Минздрава России. Цирроз и фиброз печени, 2021</w:t>
        </w:r>
      </w:hyperlink>
      <w:r>
        <w:rPr>
          <w:b w:val="0"/>
          <w:i/>
        </w:rPr>
        <w:br/>
        <w:br/>
      </w:r>
      <w:hyperlink r:id="rId20">
        <w:r>
          <w:rPr>
            <w:color w:val="0F766E"/>
            <w:u w:val="single"/>
          </w:rPr>
          <w:t>(1)</w:t>
        </w:r>
      </w:hyperlink>
    </w:p>
    <w:p>
      <w:pPr>
        <w:ind w:left="504"/>
      </w:pPr>
      <w:r>
        <w:rPr>
          <w:b w:val="0"/>
          <w:i/>
        </w:rPr>
        <w:t>Коагулограмма позволяет выявить печеночно-клеточную недостаточность на основании оценки продукции факторов свертывания крови печенью. Значения показателей факторов свертывания крови используются в оценке степени тяжести цирроза печени (классификация степени тяжести цирроза печени по Чайлд-Пью).</w:t>
        <w:br/>
        <w:br/>
      </w:r>
      <w:hyperlink r:id="rId9">
        <w:r>
          <w:rPr>
            <w:color w:val="0F766E"/>
            <w:u w:val="single"/>
          </w:rPr>
          <w:t>Клинические рекомендации Минздрава России. Цирроз и фиброз печени, 2021</w:t>
        </w:r>
      </w:hyperlink>
      <w:r>
        <w:rPr>
          <w:b w:val="0"/>
          <w:i/>
        </w:rPr>
        <w:br/>
        <w:br/>
      </w:r>
      <w:hyperlink r:id="rId21">
        <w:r>
          <w:rPr>
            <w:color w:val="0F766E"/>
            <w:u w:val="single"/>
          </w:rPr>
          <w:t>(1)</w:t>
        </w:r>
      </w:hyperlink>
    </w:p>
    <w:p>
      <w:pPr>
        <w:ind w:left="504"/>
      </w:pPr>
      <w:r>
        <w:rPr>
          <w:b w:val="0"/>
          <w:i/>
        </w:rPr>
        <w:t>Биохимическое исследование крови является рутинным скрининговым исследованием, позволяющим выявить основные синдромы поражения печени и билиарного тракта по концентрации печеночных ферментов, оценить электролитный состав крови.</w:t>
        <w:br/>
        <w:br/>
      </w:r>
      <w:hyperlink r:id="rId9">
        <w:r>
          <w:rPr>
            <w:color w:val="0F766E"/>
            <w:u w:val="single"/>
          </w:rPr>
          <w:t>Клинические рекомендации Минздрава России. Цирроз и фиброз печени, 2021</w:t>
        </w:r>
      </w:hyperlink>
      <w:r>
        <w:rPr>
          <w:b w:val="0"/>
          <w:i/>
        </w:rPr>
        <w:br/>
        <w:br/>
      </w:r>
      <w:hyperlink r:id="rId22">
        <w:r>
          <w:rPr>
            <w:color w:val="0F766E"/>
            <w:u w:val="single"/>
          </w:rPr>
          <w:t>(1)</w:t>
        </w:r>
      </w:hyperlink>
    </w:p>
    <w:p>
      <w:pPr>
        <w:ind w:left="504"/>
      </w:pPr>
      <w:r>
        <w:rPr>
          <w:b w:val="0"/>
          <w:i/>
        </w:rPr>
        <w:t>Серологическое исследование крови на маркеры вирусных гепатитов позволяет исключить вирусную этиологию поражения печени.</w:t>
        <w:br/>
        <w:br/>
      </w:r>
      <w:hyperlink r:id="rId9">
        <w:r>
          <w:rPr>
            <w:color w:val="0F766E"/>
            <w:u w:val="single"/>
          </w:rPr>
          <w:t>Клинические рекомендации Минздрава России. Цирроз и фиброз печени, 2021</w:t>
        </w:r>
      </w:hyperlink>
      <w:r>
        <w:rPr>
          <w:b w:val="0"/>
          <w:i/>
        </w:rPr>
        <w:br/>
        <w:br/>
      </w:r>
      <w:hyperlink r:id="rId23">
        <w:r>
          <w:rPr>
            <w:color w:val="0F766E"/>
            <w:u w:val="single"/>
          </w:rPr>
          <w:t>(1)</w:t>
        </w:r>
      </w:hyperlink>
    </w:p>
    <w:p>
      <w:pPr>
        <w:pStyle w:val="Heading2"/>
      </w:pPr>
      <w:r>
        <w:t>5. Результаты лабораторных методов обследования</w:t>
      </w:r>
    </w:p>
    <w:p>
      <w:pPr>
        <w:pStyle w:val="Heading3"/>
      </w:pPr>
      <w:r>
        <w:t>5.1. Биохимическое исследование крови</w:t>
      </w:r>
    </w:p>
    <w:p>
      <w:r>
        <w:drawing>
          <wp:inline xmlns:a="http://schemas.openxmlformats.org/drawingml/2006/main" xmlns:pic="http://schemas.openxmlformats.org/drawingml/2006/picture">
            <wp:extent cx="5303520" cy="3223872"/>
            <wp:docPr id="4" name="Picture 4"/>
            <wp:cNvGraphicFramePr>
              <a:graphicFrameLocks noChangeAspect="1"/>
            </wp:cNvGraphicFramePr>
            <a:graphic>
              <a:graphicData uri="http://schemas.openxmlformats.org/drawingml/2006/picture">
                <pic:pic>
                  <pic:nvPicPr>
                    <pic:cNvPr id="0" name="fb618b856a4a33cf958f8253c3b550915d22e495.jpg"/>
                    <pic:cNvPicPr/>
                  </pic:nvPicPr>
                  <pic:blipFill>
                    <a:blip r:embed="rId24"/>
                    <a:stretch>
                      <a:fillRect/>
                    </a:stretch>
                  </pic:blipFill>
                  <pic:spPr>
                    <a:xfrm>
                      <a:off x="0" y="0"/>
                      <a:ext cx="5303520" cy="3223872"/>
                    </a:xfrm>
                    <a:prstGeom prst="rect"/>
                  </pic:spPr>
                </pic:pic>
              </a:graphicData>
            </a:graphic>
          </wp:inline>
        </w:drawing>
      </w:r>
    </w:p>
    <w:p>
      <w:pPr>
        <w:jc w:val="center"/>
      </w:pPr>
      <w:r>
        <w:rPr>
          <w:i/>
        </w:rPr>
        <w:t>Биохимическое исследование крови</w:t>
      </w:r>
    </w:p>
    <w:p>
      <w:pPr>
        <w:pStyle w:val="Heading3"/>
      </w:pPr>
      <w:r>
        <w:t>5.2. Серологическое исследование крови на маркеры вирусных гепатитов</w:t>
      </w:r>
    </w:p>
    <w:p>
      <w:r>
        <w:drawing>
          <wp:inline xmlns:a="http://schemas.openxmlformats.org/drawingml/2006/main" xmlns:pic="http://schemas.openxmlformats.org/drawingml/2006/picture">
            <wp:extent cx="5303520" cy="3253506"/>
            <wp:docPr id="5" name="Picture 5"/>
            <wp:cNvGraphicFramePr>
              <a:graphicFrameLocks noChangeAspect="1"/>
            </wp:cNvGraphicFramePr>
            <a:graphic>
              <a:graphicData uri="http://schemas.openxmlformats.org/drawingml/2006/picture">
                <pic:pic>
                  <pic:nvPicPr>
                    <pic:cNvPr id="0" name="f06ef84d2aa193d20b27d9dd1f7130987147ec4e.jpg"/>
                    <pic:cNvPicPr/>
                  </pic:nvPicPr>
                  <pic:blipFill>
                    <a:blip r:embed="rId25"/>
                    <a:stretch>
                      <a:fillRect/>
                    </a:stretch>
                  </pic:blipFill>
                  <pic:spPr>
                    <a:xfrm>
                      <a:off x="0" y="0"/>
                      <a:ext cx="5303520" cy="3253506"/>
                    </a:xfrm>
                    <a:prstGeom prst="rect"/>
                  </pic:spPr>
                </pic:pic>
              </a:graphicData>
            </a:graphic>
          </wp:inline>
        </w:drawing>
      </w:r>
    </w:p>
    <w:p>
      <w:pPr>
        <w:jc w:val="center"/>
      </w:pPr>
      <w:r>
        <w:rPr>
          <w:i/>
        </w:rPr>
        <w:t>Серологическое исследование крови на маркеры вирусных гепатитов</w:t>
      </w:r>
    </w:p>
    <w:p>
      <w:pPr>
        <w:pStyle w:val="Heading3"/>
      </w:pPr>
      <w:r>
        <w:t>5.3. Коагулограмма</w:t>
      </w:r>
    </w:p>
    <w:p>
      <w:r>
        <w:drawing>
          <wp:inline xmlns:a="http://schemas.openxmlformats.org/drawingml/2006/main" xmlns:pic="http://schemas.openxmlformats.org/drawingml/2006/picture">
            <wp:extent cx="5303520" cy="1032617"/>
            <wp:docPr id="6" name="Picture 6"/>
            <wp:cNvGraphicFramePr>
              <a:graphicFrameLocks noChangeAspect="1"/>
            </wp:cNvGraphicFramePr>
            <a:graphic>
              <a:graphicData uri="http://schemas.openxmlformats.org/drawingml/2006/picture">
                <pic:pic>
                  <pic:nvPicPr>
                    <pic:cNvPr id="0" name="588d608769750b9aa043dd72342cb5e27e7a3e16.jpg"/>
                    <pic:cNvPicPr/>
                  </pic:nvPicPr>
                  <pic:blipFill>
                    <a:blip r:embed="rId26"/>
                    <a:stretch>
                      <a:fillRect/>
                    </a:stretch>
                  </pic:blipFill>
                  <pic:spPr>
                    <a:xfrm>
                      <a:off x="0" y="0"/>
                      <a:ext cx="5303520" cy="1032617"/>
                    </a:xfrm>
                    <a:prstGeom prst="rect"/>
                  </pic:spPr>
                </pic:pic>
              </a:graphicData>
            </a:graphic>
          </wp:inline>
        </w:drawing>
      </w:r>
    </w:p>
    <w:p>
      <w:pPr>
        <w:jc w:val="center"/>
      </w:pPr>
      <w:r>
        <w:rPr>
          <w:i/>
        </w:rPr>
        <w:t>Коагулограмма</w:t>
      </w:r>
    </w:p>
    <w:p>
      <w:pPr>
        <w:pStyle w:val="Heading3"/>
      </w:pPr>
      <w:r>
        <w:t>5.4. Исследование белковых фракций сыворотки крови</w:t>
      </w:r>
    </w:p>
    <w:p>
      <w:r>
        <w:drawing>
          <wp:inline xmlns:a="http://schemas.openxmlformats.org/drawingml/2006/main" xmlns:pic="http://schemas.openxmlformats.org/drawingml/2006/picture">
            <wp:extent cx="5303520" cy="1338349"/>
            <wp:docPr id="7" name="Picture 7"/>
            <wp:cNvGraphicFramePr>
              <a:graphicFrameLocks noChangeAspect="1"/>
            </wp:cNvGraphicFramePr>
            <a:graphic>
              <a:graphicData uri="http://schemas.openxmlformats.org/drawingml/2006/picture">
                <pic:pic>
                  <pic:nvPicPr>
                    <pic:cNvPr id="0" name="3bf2ceae7d2e11c02500480eda13e24fae8838a4.jpg"/>
                    <pic:cNvPicPr/>
                  </pic:nvPicPr>
                  <pic:blipFill>
                    <a:blip r:embed="rId27"/>
                    <a:stretch>
                      <a:fillRect/>
                    </a:stretch>
                  </pic:blipFill>
                  <pic:spPr>
                    <a:xfrm>
                      <a:off x="0" y="0"/>
                      <a:ext cx="5303520" cy="1338349"/>
                    </a:xfrm>
                    <a:prstGeom prst="rect"/>
                  </pic:spPr>
                </pic:pic>
              </a:graphicData>
            </a:graphic>
          </wp:inline>
        </w:drawing>
      </w:r>
    </w:p>
    <w:p>
      <w:pPr>
        <w:jc w:val="center"/>
      </w:pPr>
      <w:r>
        <w:rPr>
          <w:i/>
        </w:rPr>
        <w:t>Исследование белковых фракций сыворотки крови</w:t>
      </w:r>
    </w:p>
    <w:p>
      <w:pPr>
        <w:pStyle w:val="Heading3"/>
      </w:pPr>
      <w:r>
        <w:t>5.5. Серологическое исследование крови на антимитохондриальные антитела (АМА)</w:t>
      </w:r>
    </w:p>
    <w:p>
      <w:r>
        <w:drawing>
          <wp:inline xmlns:a="http://schemas.openxmlformats.org/drawingml/2006/main" xmlns:pic="http://schemas.openxmlformats.org/drawingml/2006/picture">
            <wp:extent cx="5303520" cy="551232"/>
            <wp:docPr id="8" name="Picture 8"/>
            <wp:cNvGraphicFramePr>
              <a:graphicFrameLocks noChangeAspect="1"/>
            </wp:cNvGraphicFramePr>
            <a:graphic>
              <a:graphicData uri="http://schemas.openxmlformats.org/drawingml/2006/picture">
                <pic:pic>
                  <pic:nvPicPr>
                    <pic:cNvPr id="0" name="7bcdc275aaddc46d28b22f9272ec3f3fcfaf2cc4.jpg"/>
                    <pic:cNvPicPr/>
                  </pic:nvPicPr>
                  <pic:blipFill>
                    <a:blip r:embed="rId28"/>
                    <a:stretch>
                      <a:fillRect/>
                    </a:stretch>
                  </pic:blipFill>
                  <pic:spPr>
                    <a:xfrm>
                      <a:off x="0" y="0"/>
                      <a:ext cx="5303520" cy="551232"/>
                    </a:xfrm>
                    <a:prstGeom prst="rect"/>
                  </pic:spPr>
                </pic:pic>
              </a:graphicData>
            </a:graphic>
          </wp:inline>
        </w:drawing>
      </w:r>
    </w:p>
    <w:p>
      <w:pPr>
        <w:jc w:val="center"/>
      </w:pPr>
      <w:r>
        <w:rPr>
          <w:i/>
        </w:rPr>
        <w:t>Серологическое исследование крови на антимитохондриальные антитела (АМА)</w:t>
      </w:r>
    </w:p>
    <w:p>
      <w:r>
        <w:rPr>
          <w:b/>
          <w:color w:val="0F766E"/>
        </w:rPr>
        <w:t>3. Вопрос</w:t>
      </w:r>
    </w:p>
    <w:p>
      <w:r>
        <w:rPr>
          <w:b w:val="0"/>
          <w:i w:val="0"/>
        </w:rPr>
        <w:t>Чтобы исключить первичную (абсолютную) экзокринную панкреатическую недостаточность, как причину изменения характера стула, необходимо провести</w:t>
      </w:r>
    </w:p>
    <w:p>
      <w:pPr>
        <w:pStyle w:val="ListBullet"/>
      </w:pPr>
      <w:r>
        <w:rPr>
          <w:b/>
        </w:rPr>
        <w:t xml:space="preserve">1. </w:t>
      </w:r>
      <w:r>
        <w:rPr>
          <w:b w:val="0"/>
          <w:i w:val="0"/>
        </w:rPr>
        <w:t>количественное определение содержания жира в кале</w:t>
      </w:r>
    </w:p>
    <w:p>
      <w:pPr>
        <w:pStyle w:val="ListBullet"/>
      </w:pPr>
      <w:r>
        <w:rPr>
          <w:b/>
        </w:rPr>
        <w:t xml:space="preserve">2. </w:t>
      </w:r>
      <w:r>
        <w:rPr>
          <w:b w:val="0"/>
          <w:i w:val="0"/>
        </w:rPr>
        <w:t>общий анализ кала (копрограмма)</w:t>
      </w:r>
    </w:p>
    <w:p>
      <w:pPr>
        <w:pStyle w:val="ListBullet"/>
      </w:pPr>
      <w:r>
        <w:rPr>
          <w:b/>
        </w:rPr>
        <w:t xml:space="preserve">3. </w:t>
      </w:r>
      <w:r>
        <w:rPr>
          <w:b w:val="0"/>
          <w:i w:val="0"/>
        </w:rPr>
        <w:t>исследование концентрации альфа-1-антитрипсина в кале</w:t>
      </w:r>
    </w:p>
    <w:p>
      <w:pPr>
        <w:pStyle w:val="ListBullet"/>
      </w:pPr>
      <w:r>
        <w:rPr>
          <w:b/>
        </w:rPr>
        <w:t xml:space="preserve">4. </w:t>
      </w:r>
      <w:r>
        <w:rPr>
          <w:b/>
          <w:i w:val="0"/>
          <w:color w:val="0F766E"/>
          <w:highlight w:val="yellow"/>
        </w:rPr>
        <w:t>исследование активности эластазы-1 в кале</w:t>
      </w:r>
    </w:p>
    <w:p>
      <w:pPr>
        <w:ind w:left="288"/>
      </w:pPr>
      <w:r>
        <w:rPr>
          <w:b/>
          <w:color w:val="0F766E"/>
          <w:highlight w:val="yellow"/>
        </w:rPr>
        <w:t xml:space="preserve">Правильный ответ: </w:t>
      </w:r>
      <w:r>
        <w:rPr>
          <w:b/>
          <w:i w:val="0"/>
        </w:rPr>
        <w:t>исследование активности эластазы-1 в кале</w:t>
      </w:r>
    </w:p>
    <w:p>
      <w:pPr>
        <w:ind w:left="504"/>
      </w:pPr>
      <w:r>
        <w:rPr>
          <w:b w:val="0"/>
          <w:i/>
        </w:rPr>
        <w:t>Эластаза-1 сохраняет относительную стабильность по сравнению с другими ферментами поджелудочной железы при прохождении по желудочно-кишечному тракту. Снижение содержания эластазы-1 в кале свидетельствует о первичной (абсолютной) экзокринной недостаточности поджелудочной железы.</w:t>
        <w:br/>
        <w:br/>
      </w:r>
      <w:hyperlink r:id="rId29">
        <w:r>
          <w:rPr>
            <w:color w:val="0F766E"/>
            <w:u w:val="single"/>
          </w:rPr>
          <w:t>Клинические рекомендации Минздрава России. Хронический панкреатит, 2020</w:t>
        </w:r>
      </w:hyperlink>
      <w:r>
        <w:rPr>
          <w:b w:val="0"/>
          <w:i/>
        </w:rPr>
        <w:br/>
        <w:br/>
      </w:r>
      <w:hyperlink r:id="rId30">
        <w:r>
          <w:rPr>
            <w:color w:val="0F766E"/>
            <w:u w:val="single"/>
          </w:rPr>
          <w:t>(1)</w:t>
        </w:r>
      </w:hyperlink>
    </w:p>
    <w:p>
      <w:pPr>
        <w:pStyle w:val="Heading2"/>
      </w:pPr>
      <w:r>
        <w:t>7. Результаты обследования</w:t>
      </w:r>
    </w:p>
    <w:p>
      <w:pPr>
        <w:pStyle w:val="Heading3"/>
      </w:pPr>
      <w:r>
        <w:t>7.1. Исследование активности эластазы-1 в кале</w:t>
      </w:r>
    </w:p>
    <w:p>
      <w:r>
        <w:drawing>
          <wp:inline xmlns:a="http://schemas.openxmlformats.org/drawingml/2006/main" xmlns:pic="http://schemas.openxmlformats.org/drawingml/2006/picture">
            <wp:extent cx="5303520" cy="599456"/>
            <wp:docPr id="9" name="Picture 9"/>
            <wp:cNvGraphicFramePr>
              <a:graphicFrameLocks noChangeAspect="1"/>
            </wp:cNvGraphicFramePr>
            <a:graphic>
              <a:graphicData uri="http://schemas.openxmlformats.org/drawingml/2006/picture">
                <pic:pic>
                  <pic:nvPicPr>
                    <pic:cNvPr id="0" name="9c05478392aa0d146d3db6d0310a6f13fcfd58c4.jpg"/>
                    <pic:cNvPicPr/>
                  </pic:nvPicPr>
                  <pic:blipFill>
                    <a:blip r:embed="rId31"/>
                    <a:stretch>
                      <a:fillRect/>
                    </a:stretch>
                  </pic:blipFill>
                  <pic:spPr>
                    <a:xfrm>
                      <a:off x="0" y="0"/>
                      <a:ext cx="5303520" cy="599456"/>
                    </a:xfrm>
                    <a:prstGeom prst="rect"/>
                  </pic:spPr>
                </pic:pic>
              </a:graphicData>
            </a:graphic>
          </wp:inline>
        </w:drawing>
      </w:r>
    </w:p>
    <w:p>
      <w:pPr>
        <w:jc w:val="center"/>
      </w:pPr>
      <w:r>
        <w:rPr>
          <w:i/>
        </w:rPr>
        <w:t>Исследование активности эластазы-1 в кале</w:t>
      </w:r>
    </w:p>
    <w:p>
      <w:pPr>
        <w:pStyle w:val="Heading2"/>
      </w:pPr>
      <w:r>
        <w:t>2. Диагноз</w:t>
      </w:r>
    </w:p>
    <w:p>
      <w:r>
        <w:rPr>
          <w:b/>
          <w:color w:val="0F766E"/>
        </w:rPr>
        <w:t>4. Вопрос</w:t>
      </w:r>
    </w:p>
    <w:p>
      <w:r>
        <w:rPr>
          <w:b w:val="0"/>
          <w:i w:val="0"/>
        </w:rPr>
        <w:t>На основании данных обследования может быть поставлен диагноз</w:t>
      </w:r>
    </w:p>
    <w:p>
      <w:pPr>
        <w:pStyle w:val="ListBullet"/>
      </w:pPr>
      <w:r>
        <w:rPr>
          <w:b/>
        </w:rPr>
        <w:t xml:space="preserve">1. </w:t>
      </w:r>
      <w:r>
        <w:rPr>
          <w:b/>
          <w:i w:val="0"/>
          <w:color w:val="0F766E"/>
          <w:highlight w:val="yellow"/>
        </w:rPr>
        <w:t>Основное заболевание: Первичный билиарный цирроз печени 4 стадии, класс С по Чайлд – Пью (10 баллов). Портальная гипертензия 2 стадии. +</w:t>
        <w:br/>
        <w:t>Осложнения: асцит, печеночная энцефалопатия 1 стадии. +</w:t>
        <w:br/>
        <w:t>Сопутствующие заболевания: Аутоиммунный тиреоидит, эутиреоидное состояние</w:t>
      </w:r>
    </w:p>
    <w:p>
      <w:pPr>
        <w:pStyle w:val="ListBullet"/>
      </w:pPr>
      <w:r>
        <w:rPr>
          <w:b/>
        </w:rPr>
        <w:t xml:space="preserve">2. </w:t>
      </w:r>
      <w:r>
        <w:rPr>
          <w:b w:val="0"/>
          <w:i w:val="0"/>
        </w:rPr>
        <w:t>Основное заболевание: Первичный билиарный цирроз печени 3 стадии, класс А по Чайлд – Пью (5 баллов). Портальная гипертензия 1 стадии. +</w:t>
        <w:br/>
        <w:t>Сопутствующие заболевания: Аутоиммунный тиреодит, эутириеоидное состояние</w:t>
      </w:r>
    </w:p>
    <w:p>
      <w:pPr>
        <w:pStyle w:val="ListBullet"/>
      </w:pPr>
      <w:r>
        <w:rPr>
          <w:b/>
        </w:rPr>
        <w:t xml:space="preserve">3. </w:t>
      </w:r>
      <w:r>
        <w:rPr>
          <w:b w:val="0"/>
          <w:i w:val="0"/>
        </w:rPr>
        <w:t>Основное заболевание: Криптогенный цирроз печени, класс С по Чайлд – Пью (10 баллов). Портальная гипертензия 2 стадии. Осложнения: асцит, печеночная энцефалопатия 1 стадии. +</w:t>
        <w:br/>
        <w:t>Сопутствующие заболевания: Аутоиммунный тиреодит, эутириеоидное состояние</w:t>
      </w:r>
    </w:p>
    <w:p>
      <w:pPr>
        <w:pStyle w:val="ListBullet"/>
      </w:pPr>
      <w:r>
        <w:rPr>
          <w:b/>
        </w:rPr>
        <w:t xml:space="preserve">4. </w:t>
      </w:r>
      <w:r>
        <w:rPr>
          <w:b w:val="0"/>
          <w:i w:val="0"/>
        </w:rPr>
        <w:t>Основное заболевание: Неалкогольная жировая болезнь печени: хронический стеатогепатит, умеренной степени активности с интралобулярным холестазом. +</w:t>
        <w:br/>
        <w:t>Сопутствующие заболевания: Дисбиоз кишечника. Аутоиммунный тиреодит, эутириеоидное состояние</w:t>
      </w:r>
    </w:p>
    <w:p>
      <w:pPr>
        <w:ind w:left="288"/>
      </w:pPr>
      <w:r>
        <w:rPr>
          <w:b/>
          <w:color w:val="0F766E"/>
          <w:highlight w:val="yellow"/>
        </w:rPr>
        <w:t xml:space="preserve">Правильный ответ: </w:t>
      </w:r>
      <w:r>
        <w:rPr>
          <w:b/>
          <w:i w:val="0"/>
        </w:rPr>
        <w:t>Основное заболевание: Первичный билиарный цирроз печени 4 стадии, класс С по Чайлд – Пью (10 баллов). Портальная гипертензия 2 стадии. +</w:t>
        <w:br/>
        <w:t>Осложнения: асцит, печеночная энцефалопатия 1 стадии. +</w:t>
        <w:br/>
        <w:t>Сопутствующие заболевания: Аутоиммунный тиреоидит, эутиреоидное состояние</w:t>
      </w:r>
    </w:p>
    <w:p>
      <w:pPr>
        <w:ind w:left="504"/>
      </w:pPr>
      <w:r>
        <w:rPr>
          <w:b w:val="0"/>
          <w:i/>
        </w:rPr>
        <w:t>Диагноз первичного билиарного цирроза печени 4 стадии (стадии цирроза печени) поставлен на основании наличия у пациента проявлений астеновегетативного синдрома (повышенная утомляемость, слабость), билиарной недостаточности (повышенное газообразование, неоформленный (кашицеобразный) стул до 3 раз в день, стеаторея), тянущих болей в правом подреберье, кожного зуда, данных осмотра (пальмарная эритема), гепатомегалии (при осмотре и по данным УЗИ органов брюшной полости), синдрома портальной гипертензии (спленомегалия при осмотре и по данным УЗИ органов брюшной полости, увеличение диаметра воротной и селезеночной вены по данным УЗИ органов брюшной полости, варикозно расширенные вены пищевода при ЭГДС), осложнений портальной гипертензии – асцита (при осмотре и по данным УЗИ органов брюшной полости, диагностического абдоминального парацентеза), печеночной энцефалопатии 1 стадии (нарушения сна, заторможенности при осмотре), синдрома холестаза (по данным биохимического исследования крови), выявления диагностического титра антимитохондриальных антител.</w:t>
        <w:br/>
        <w:br/>
        <w:t>Степень тяжести цирроза печени оценивалась согласно классификации Чайлд –Пью (10 баллов).</w:t>
        <w:br/>
        <w:br/>
        <w:t>Этиология цирроза печени определена на основании жалоб на кожный зуд, дебюта заболевания у женщины в возрасте старше 50 лет, сочетания с другим аутоиммунным заболеванием (аутоиммунный тиреоидит), данных осмотра (ксантелазмы на веках), синдрома холестаза при незначительно выраженном синдроме цитолиза (по данным биохимического исследования крови), гипергаммаглобулинемии, выявления диагностического титра антимитохондриальных антител.</w:t>
        <w:br/>
        <w:br/>
      </w:r>
      <w:hyperlink r:id="rId18">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32">
        <w:r>
          <w:rPr>
            <w:color w:val="0F766E"/>
            <w:u w:val="single"/>
          </w:rPr>
          <w:t>(1)</w:t>
        </w:r>
      </w:hyperlink>
    </w:p>
    <w:p>
      <w:pPr>
        <w:pStyle w:val="Heading2"/>
      </w:pPr>
      <w:r>
        <w:t>9. Диагноз</w:t>
      </w:r>
    </w:p>
    <w:p>
      <w:pPr>
        <w:pStyle w:val="Heading3"/>
      </w:pPr>
      <w:r>
        <w:t>9.1. Основное заболевание: Первичный билиарный цирроз печени 4 стадии, класс С по Чайлд – Пью (10 баллов). Портальная гипертензия 2 стадии. Осложнения: асцит, печеночная энцефалопатия 1 стадии. Сопутствующие заболевания: Аутоиммунный тиреоидит, эутиреоидное состояние</w:t>
      </w:r>
    </w:p>
    <w:p>
      <w:r>
        <w:rPr>
          <w:b/>
          <w:color w:val="0F766E"/>
        </w:rPr>
        <w:t>5. Вопрос</w:t>
      </w:r>
    </w:p>
    <w:p>
      <w:r>
        <w:rPr>
          <w:b w:val="0"/>
          <w:i w:val="0"/>
        </w:rPr>
        <w:t>Выявленное в биохимическом анализе крови повышение уровня аминотрансфераз (АЛТ, АСТ) характерно для синдрома</w:t>
      </w:r>
    </w:p>
    <w:p>
      <w:pPr>
        <w:pStyle w:val="ListBullet"/>
      </w:pPr>
      <w:r>
        <w:rPr>
          <w:b/>
        </w:rPr>
        <w:t xml:space="preserve">1. </w:t>
      </w:r>
      <w:r>
        <w:rPr>
          <w:b/>
          <w:i w:val="0"/>
          <w:color w:val="0F766E"/>
          <w:highlight w:val="yellow"/>
        </w:rPr>
        <w:t>цитолиза</w:t>
      </w:r>
    </w:p>
    <w:p>
      <w:pPr>
        <w:pStyle w:val="ListBullet"/>
      </w:pPr>
      <w:r>
        <w:rPr>
          <w:b/>
        </w:rPr>
        <w:t xml:space="preserve">2. </w:t>
      </w:r>
      <w:r>
        <w:rPr>
          <w:b w:val="0"/>
          <w:i w:val="0"/>
        </w:rPr>
        <w:t>печеночно-клеточной недостаточности</w:t>
      </w:r>
    </w:p>
    <w:p>
      <w:pPr>
        <w:pStyle w:val="ListBullet"/>
      </w:pPr>
      <w:r>
        <w:rPr>
          <w:b/>
        </w:rPr>
        <w:t xml:space="preserve">3. </w:t>
      </w:r>
      <w:r>
        <w:rPr>
          <w:b w:val="0"/>
          <w:i w:val="0"/>
        </w:rPr>
        <w:t>холестаза</w:t>
      </w:r>
    </w:p>
    <w:p>
      <w:pPr>
        <w:pStyle w:val="ListBullet"/>
      </w:pPr>
      <w:r>
        <w:rPr>
          <w:b/>
        </w:rPr>
        <w:t xml:space="preserve">4. </w:t>
      </w:r>
      <w:r>
        <w:rPr>
          <w:b w:val="0"/>
          <w:i w:val="0"/>
        </w:rPr>
        <w:t>иммунного воспаления</w:t>
      </w:r>
    </w:p>
    <w:p>
      <w:pPr>
        <w:ind w:left="288"/>
      </w:pPr>
      <w:r>
        <w:rPr>
          <w:b/>
          <w:color w:val="0F766E"/>
          <w:highlight w:val="yellow"/>
        </w:rPr>
        <w:t xml:space="preserve">Правильный ответ: </w:t>
      </w:r>
      <w:r>
        <w:rPr>
          <w:b/>
          <w:i w:val="0"/>
        </w:rPr>
        <w:t>цитолиза</w:t>
      </w:r>
    </w:p>
    <w:p>
      <w:pPr>
        <w:ind w:left="504"/>
      </w:pPr>
      <w:r>
        <w:rPr>
          <w:b w:val="0"/>
          <w:i/>
        </w:rPr>
        <w:t>Выявленное в биохимическом анализе крови трехкратное повышение уровня аспарагиновой аминотрансферазы (АСТ) и аланиновой аминотрансферазы (АЛТ) характерно для синдрома цитолиза умеренной степени активности (повышения трансаминаз от 2 до 5 норм).</w:t>
        <w:br/>
        <w:br/>
        <w:t>Гастроэнтерология. Национальное руководство / под ред. В. Т. Ивашкина, Т. Л. Лапиной - Москва : ГЭОТАР-Медиа, 2018. - 464 с. - ISBN 978-5-9704-4406-1</w:t>
        <w:br/>
        <w:br/>
      </w:r>
      <w:hyperlink r:id="rId33">
        <w:r>
          <w:rPr>
            <w:color w:val="0F766E"/>
            <w:u w:val="single"/>
          </w:rPr>
          <w:t>(1)</w:t>
        </w:r>
      </w:hyperlink>
    </w:p>
    <w:p>
      <w:r>
        <w:rPr>
          <w:b/>
          <w:color w:val="0F766E"/>
        </w:rPr>
        <w:t>6. Вопрос</w:t>
      </w:r>
    </w:p>
    <w:p>
      <w:r>
        <w:rPr>
          <w:b w:val="0"/>
          <w:i w:val="0"/>
        </w:rPr>
        <w:t>Выявленное в биохимическом анализе крови повышение уровня гамма-глютамилтранспептидазы и щелочной фосфатазы характерно для синдрома</w:t>
      </w:r>
    </w:p>
    <w:p>
      <w:pPr>
        <w:pStyle w:val="ListBullet"/>
      </w:pPr>
      <w:r>
        <w:rPr>
          <w:b/>
        </w:rPr>
        <w:t xml:space="preserve">1. </w:t>
      </w:r>
      <w:r>
        <w:rPr>
          <w:b w:val="0"/>
          <w:i w:val="0"/>
        </w:rPr>
        <w:t>печеночно-клеточной недостаточности</w:t>
      </w:r>
    </w:p>
    <w:p>
      <w:pPr>
        <w:pStyle w:val="ListBullet"/>
      </w:pPr>
      <w:r>
        <w:rPr>
          <w:b/>
        </w:rPr>
        <w:t xml:space="preserve">2. </w:t>
      </w:r>
      <w:r>
        <w:rPr>
          <w:b w:val="0"/>
          <w:i w:val="0"/>
        </w:rPr>
        <w:t>цитолиза</w:t>
      </w:r>
    </w:p>
    <w:p>
      <w:pPr>
        <w:pStyle w:val="ListBullet"/>
      </w:pPr>
      <w:r>
        <w:rPr>
          <w:b/>
        </w:rPr>
        <w:t xml:space="preserve">3. </w:t>
      </w:r>
      <w:r>
        <w:rPr>
          <w:b w:val="0"/>
          <w:i w:val="0"/>
        </w:rPr>
        <w:t>иммунного воспаления</w:t>
      </w:r>
    </w:p>
    <w:p>
      <w:pPr>
        <w:pStyle w:val="ListBullet"/>
      </w:pPr>
      <w:r>
        <w:rPr>
          <w:b/>
        </w:rPr>
        <w:t xml:space="preserve">4. </w:t>
      </w:r>
      <w:r>
        <w:rPr>
          <w:b/>
          <w:i w:val="0"/>
          <w:color w:val="0F766E"/>
          <w:highlight w:val="yellow"/>
        </w:rPr>
        <w:t>холестаза</w:t>
      </w:r>
    </w:p>
    <w:p>
      <w:pPr>
        <w:ind w:left="288"/>
      </w:pPr>
      <w:r>
        <w:rPr>
          <w:b/>
          <w:color w:val="0F766E"/>
          <w:highlight w:val="yellow"/>
        </w:rPr>
        <w:t xml:space="preserve">Правильный ответ: </w:t>
      </w:r>
      <w:r>
        <w:rPr>
          <w:b/>
          <w:i w:val="0"/>
        </w:rPr>
        <w:t>холестаза</w:t>
      </w:r>
    </w:p>
    <w:p>
      <w:pPr>
        <w:ind w:left="504"/>
      </w:pPr>
      <w:r>
        <w:rPr>
          <w:b w:val="0"/>
          <w:i/>
        </w:rPr>
        <w:t>Диагностическими критериями холестаза принято считать повышение уровня ЩФ в 1,5 раза от верхней границы нормы и уровня ГГТП в 3 раза от верхней границы нормы. Выявленное в биохимическом анализе крови 3,5-кратное повышение уровня гамма-глютамилтранспептидазы (ГГТП) и двухкратное повышение уровня щелочной фосфатазы (ЩФ), а также конъюгированная гипербилирубинемия, является характерным для внутрипечёночного холестаза.</w:t>
        <w:br/>
        <w:br/>
        <w:t>Гастроэнтерология. Национальное руководство / под ред. В. Т. Ивашкина, Т. Л. Лапиной - Москва : ГЭОТАР-Медиа, 2018. - 464 с. - ISBN 978-5-9704-4406-1</w:t>
        <w:br/>
        <w:br/>
      </w:r>
      <w:hyperlink r:id="rId34">
        <w:r>
          <w:rPr>
            <w:color w:val="0F766E"/>
            <w:u w:val="single"/>
          </w:rPr>
          <w:t>(1)</w:t>
        </w:r>
      </w:hyperlink>
    </w:p>
    <w:p>
      <w:pPr>
        <w:pStyle w:val="Heading2"/>
      </w:pPr>
      <w:r>
        <w:t>3. Лечение</w:t>
      </w:r>
    </w:p>
    <w:p>
      <w:r>
        <w:rPr>
          <w:b/>
          <w:color w:val="0F766E"/>
        </w:rPr>
        <w:t>7. Вопрос</w:t>
      </w:r>
    </w:p>
    <w:p>
      <w:r>
        <w:rPr>
          <w:b w:val="0"/>
          <w:i w:val="0"/>
        </w:rPr>
        <w:t>Препаратом выбора консервативной терапии данного заболевания является</w:t>
      </w:r>
    </w:p>
    <w:p>
      <w:pPr>
        <w:pStyle w:val="ListBullet"/>
      </w:pPr>
      <w:r>
        <w:rPr>
          <w:b/>
        </w:rPr>
        <w:t xml:space="preserve">1. </w:t>
      </w:r>
      <w:r>
        <w:rPr>
          <w:b w:val="0"/>
          <w:i w:val="0"/>
        </w:rPr>
        <w:t>силимарин</w:t>
      </w:r>
    </w:p>
    <w:p>
      <w:pPr>
        <w:pStyle w:val="ListBullet"/>
      </w:pPr>
      <w:r>
        <w:rPr>
          <w:b/>
        </w:rPr>
        <w:t xml:space="preserve">2. </w:t>
      </w:r>
      <w:r>
        <w:rPr>
          <w:b w:val="0"/>
          <w:i w:val="0"/>
        </w:rPr>
        <w:t>колхицин</w:t>
      </w:r>
    </w:p>
    <w:p>
      <w:pPr>
        <w:pStyle w:val="ListBullet"/>
      </w:pPr>
      <w:r>
        <w:rPr>
          <w:b/>
        </w:rPr>
        <w:t xml:space="preserve">3. </w:t>
      </w:r>
      <w:r>
        <w:rPr>
          <w:b w:val="0"/>
          <w:i w:val="0"/>
        </w:rPr>
        <w:t>будесонид</w:t>
      </w:r>
    </w:p>
    <w:p>
      <w:pPr>
        <w:pStyle w:val="ListBullet"/>
      </w:pPr>
      <w:r>
        <w:rPr>
          <w:b/>
        </w:rPr>
        <w:t xml:space="preserve">4. </w:t>
      </w:r>
      <w:r>
        <w:rPr>
          <w:b/>
          <w:i w:val="0"/>
          <w:color w:val="0F766E"/>
          <w:highlight w:val="yellow"/>
        </w:rPr>
        <w:t>урсодезоксихолевая кислота</w:t>
      </w:r>
    </w:p>
    <w:p>
      <w:pPr>
        <w:ind w:left="288"/>
      </w:pPr>
      <w:r>
        <w:rPr>
          <w:b/>
          <w:color w:val="0F766E"/>
          <w:highlight w:val="yellow"/>
        </w:rPr>
        <w:t xml:space="preserve">Правильный ответ: </w:t>
      </w:r>
      <w:r>
        <w:rPr>
          <w:b/>
          <w:i w:val="0"/>
        </w:rPr>
        <w:t>урсодезоксихолевая кислота</w:t>
      </w:r>
    </w:p>
    <w:p>
      <w:pPr>
        <w:ind w:left="504"/>
      </w:pPr>
      <w:r>
        <w:rPr>
          <w:b w:val="0"/>
          <w:i/>
        </w:rPr>
        <w:t>Пациентам с первичным билиарным циррозом печени, включая больных с бессимптомным течением заболевания, показана длительная (или пожизненная) терапия урсодезоксихолевой кислотой из расчета 13–15 мг/ кг/день. Длительный прием урсодезоксихолевой кислоты улучшает лабораторные показатели и несколько снижает выраженность клинических проявлений заболевания, однако не оказывает существенного влияния на продолжительность жизни больных.</w:t>
        <w:br/>
        <w:br/>
      </w:r>
      <w:hyperlink r:id="rId18">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35">
        <w:r>
          <w:rPr>
            <w:color w:val="0F766E"/>
            <w:u w:val="single"/>
          </w:rPr>
          <w:t>(1)</w:t>
        </w:r>
      </w:hyperlink>
    </w:p>
    <w:p>
      <w:r>
        <w:rPr>
          <w:b/>
          <w:color w:val="0F766E"/>
        </w:rPr>
        <w:t>8. Вопрос</w:t>
      </w:r>
    </w:p>
    <w:p>
      <w:r>
        <w:rPr>
          <w:b w:val="0"/>
          <w:i w:val="0"/>
        </w:rPr>
        <w:t>С целью купирования кожного зуда при данном заболевании используют</w:t>
      </w:r>
    </w:p>
    <w:p>
      <w:pPr>
        <w:pStyle w:val="ListBullet"/>
      </w:pPr>
      <w:r>
        <w:rPr>
          <w:b/>
        </w:rPr>
        <w:t xml:space="preserve">1. </w:t>
      </w:r>
      <w:r>
        <w:rPr>
          <w:b w:val="0"/>
          <w:i w:val="0"/>
        </w:rPr>
        <w:t>активированный уголь</w:t>
      </w:r>
    </w:p>
    <w:p>
      <w:pPr>
        <w:pStyle w:val="ListBullet"/>
      </w:pPr>
      <w:r>
        <w:rPr>
          <w:b/>
        </w:rPr>
        <w:t xml:space="preserve">2. </w:t>
      </w:r>
      <w:r>
        <w:rPr>
          <w:b w:val="0"/>
          <w:i w:val="0"/>
        </w:rPr>
        <w:t>лактулозу</w:t>
      </w:r>
    </w:p>
    <w:p>
      <w:pPr>
        <w:pStyle w:val="ListBullet"/>
      </w:pPr>
      <w:r>
        <w:rPr>
          <w:b/>
        </w:rPr>
        <w:t xml:space="preserve">3. </w:t>
      </w:r>
      <w:r>
        <w:rPr>
          <w:b w:val="0"/>
          <w:i w:val="0"/>
        </w:rPr>
        <w:t>октаэдрический смектит</w:t>
      </w:r>
    </w:p>
    <w:p>
      <w:pPr>
        <w:pStyle w:val="ListBullet"/>
      </w:pPr>
      <w:r>
        <w:rPr>
          <w:b/>
        </w:rPr>
        <w:t xml:space="preserve">4. </w:t>
      </w:r>
      <w:r>
        <w:rPr>
          <w:b/>
          <w:i w:val="0"/>
          <w:color w:val="0F766E"/>
          <w:highlight w:val="yellow"/>
        </w:rPr>
        <w:t>рифампицин</w:t>
      </w:r>
    </w:p>
    <w:p>
      <w:pPr>
        <w:ind w:left="288"/>
      </w:pPr>
      <w:r>
        <w:rPr>
          <w:b/>
          <w:color w:val="0F766E"/>
          <w:highlight w:val="yellow"/>
        </w:rPr>
        <w:t xml:space="preserve">Правильный ответ: </w:t>
      </w:r>
      <w:r>
        <w:rPr>
          <w:b/>
          <w:i w:val="0"/>
        </w:rPr>
        <w:t>рифампицин</w:t>
      </w:r>
    </w:p>
    <w:p>
      <w:pPr>
        <w:ind w:left="504"/>
      </w:pPr>
      <w:r>
        <w:rPr>
          <w:b w:val="0"/>
          <w:i/>
        </w:rPr>
        <w:t>Рифампицин относится к препаратам второго ряда при лечении кожного зуда у больных первичным билиарным циррозом печени. Применение препарата при кожном зуде связано с индукцией ферментов микросомального окисления, уменьшающих содержание пуритогенов в кровотоке.</w:t>
        <w:br/>
        <w:br/>
      </w:r>
      <w:hyperlink r:id="rId18">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36">
        <w:r>
          <w:rPr>
            <w:color w:val="0F766E"/>
            <w:u w:val="single"/>
          </w:rPr>
          <w:t>(1)</w:t>
        </w:r>
      </w:hyperlink>
    </w:p>
    <w:p>
      <w:r>
        <w:rPr>
          <w:b/>
          <w:color w:val="0F766E"/>
        </w:rPr>
        <w:t>9. Вопрос</w:t>
      </w:r>
    </w:p>
    <w:p>
      <w:r>
        <w:rPr>
          <w:b w:val="0"/>
          <w:i w:val="0"/>
        </w:rPr>
        <w:t>Консервативная терапия ненапряженного асцита при данном заболевании включает назначение спиронолактона в начальной дозе +_________+ мг/сутки</w:t>
      </w:r>
    </w:p>
    <w:p>
      <w:pPr>
        <w:pStyle w:val="ListBullet"/>
      </w:pPr>
      <w:r>
        <w:rPr>
          <w:b/>
        </w:rPr>
        <w:t xml:space="preserve">1. </w:t>
      </w:r>
      <w:r>
        <w:rPr>
          <w:b w:val="0"/>
          <w:i w:val="0"/>
        </w:rPr>
        <w:t>400</w:t>
      </w:r>
    </w:p>
    <w:p>
      <w:pPr>
        <w:pStyle w:val="ListBullet"/>
      </w:pPr>
      <w:r>
        <w:rPr>
          <w:b/>
        </w:rPr>
        <w:t xml:space="preserve">2. </w:t>
      </w:r>
      <w:r>
        <w:rPr>
          <w:b w:val="0"/>
          <w:i w:val="0"/>
        </w:rPr>
        <w:t>300</w:t>
      </w:r>
    </w:p>
    <w:p>
      <w:pPr>
        <w:pStyle w:val="ListBullet"/>
      </w:pPr>
      <w:r>
        <w:rPr>
          <w:b/>
        </w:rPr>
        <w:t xml:space="preserve">3. </w:t>
      </w:r>
      <w:r>
        <w:rPr>
          <w:b/>
          <w:i w:val="0"/>
          <w:color w:val="0F766E"/>
          <w:highlight w:val="yellow"/>
        </w:rPr>
        <w:t>100</w:t>
      </w:r>
    </w:p>
    <w:p>
      <w:pPr>
        <w:pStyle w:val="ListBullet"/>
      </w:pPr>
      <w:r>
        <w:rPr>
          <w:b/>
        </w:rPr>
        <w:t xml:space="preserve">4. </w:t>
      </w:r>
      <w:r>
        <w:rPr>
          <w:b w:val="0"/>
          <w:i w:val="0"/>
        </w:rPr>
        <w:t>500</w:t>
      </w:r>
    </w:p>
    <w:p>
      <w:pPr>
        <w:ind w:left="288"/>
      </w:pPr>
      <w:r>
        <w:rPr>
          <w:b/>
          <w:color w:val="0F766E"/>
          <w:highlight w:val="yellow"/>
        </w:rPr>
        <w:t xml:space="preserve">Правильный ответ: </w:t>
      </w:r>
      <w:r>
        <w:rPr>
          <w:b/>
          <w:i w:val="0"/>
        </w:rPr>
        <w:t>100</w:t>
      </w:r>
    </w:p>
    <w:p>
      <w:pPr>
        <w:ind w:left="504"/>
      </w:pPr>
      <w:r>
        <w:rPr>
          <w:b w:val="0"/>
          <w:i/>
        </w:rPr>
        <w:t>Рекомендовано в дополнение к бессолевой диете назначать калийсберегающий диуретик, антагонист альдостерона - (спиронолактон в начальной дозировке 100 мг/сутки пациентам с ЦП и впервые возникшим умеренным асцитом.</w:t>
        <w:br/>
        <w:br/>
      </w:r>
      <w:hyperlink r:id="rId9">
        <w:r>
          <w:rPr>
            <w:color w:val="0F766E"/>
            <w:u w:val="single"/>
          </w:rPr>
          <w:t>Клинические рекомендации Минздрава России. Цирроз и фиброз печени, 2021</w:t>
        </w:r>
      </w:hyperlink>
      <w:r>
        <w:rPr>
          <w:b w:val="0"/>
          <w:i/>
        </w:rPr>
        <w:br/>
        <w:br/>
      </w:r>
      <w:hyperlink r:id="rId37">
        <w:r>
          <w:rPr>
            <w:color w:val="0F766E"/>
            <w:u w:val="single"/>
          </w:rPr>
          <w:t>(1)</w:t>
        </w:r>
      </w:hyperlink>
    </w:p>
    <w:p>
      <w:r>
        <w:rPr>
          <w:b/>
          <w:color w:val="0F766E"/>
        </w:rPr>
        <w:t>10. Вопрос</w:t>
      </w:r>
    </w:p>
    <w:p>
      <w:r>
        <w:rPr>
          <w:b w:val="0"/>
          <w:i w:val="0"/>
        </w:rPr>
        <w:t>Для купирования болей в крупных суставах пациенке показано назначение</w:t>
      </w:r>
    </w:p>
    <w:p>
      <w:pPr>
        <w:pStyle w:val="ListBullet"/>
      </w:pPr>
      <w:r>
        <w:rPr>
          <w:b/>
        </w:rPr>
        <w:t xml:space="preserve">1. </w:t>
      </w:r>
      <w:r>
        <w:rPr>
          <w:b/>
          <w:i w:val="0"/>
          <w:color w:val="0F766E"/>
          <w:highlight w:val="yellow"/>
        </w:rPr>
        <w:t>холекальциферола (витамин D3) и препаратов кальция</w:t>
      </w:r>
    </w:p>
    <w:p>
      <w:pPr>
        <w:pStyle w:val="ListBullet"/>
      </w:pPr>
      <w:r>
        <w:rPr>
          <w:b/>
        </w:rPr>
        <w:t xml:space="preserve">2. </w:t>
      </w:r>
      <w:r>
        <w:rPr>
          <w:b w:val="0"/>
          <w:i w:val="0"/>
        </w:rPr>
        <w:t>нестероидных противовоспалительных препаратов</w:t>
      </w:r>
    </w:p>
    <w:p>
      <w:pPr>
        <w:pStyle w:val="ListBullet"/>
      </w:pPr>
      <w:r>
        <w:rPr>
          <w:b/>
        </w:rPr>
        <w:t xml:space="preserve">3. </w:t>
      </w:r>
      <w:r>
        <w:rPr>
          <w:b w:val="0"/>
          <w:i w:val="0"/>
        </w:rPr>
        <w:t>курсовой физиотерапии на пораженные суставы</w:t>
      </w:r>
    </w:p>
    <w:p>
      <w:pPr>
        <w:pStyle w:val="ListBullet"/>
      </w:pPr>
      <w:r>
        <w:rPr>
          <w:b/>
        </w:rPr>
        <w:t xml:space="preserve">4. </w:t>
      </w:r>
      <w:r>
        <w:rPr>
          <w:b w:val="0"/>
          <w:i w:val="0"/>
        </w:rPr>
        <w:t>хондропротекторов</w:t>
      </w:r>
    </w:p>
    <w:p>
      <w:pPr>
        <w:ind w:left="288"/>
      </w:pPr>
      <w:r>
        <w:rPr>
          <w:b/>
          <w:color w:val="0F766E"/>
          <w:highlight w:val="yellow"/>
        </w:rPr>
        <w:t xml:space="preserve">Правильный ответ: </w:t>
      </w:r>
      <w:r>
        <w:rPr>
          <w:b/>
          <w:i w:val="0"/>
        </w:rPr>
        <w:t>холекальциферола (витамин D3) и препаратов кальция</w:t>
      </w:r>
    </w:p>
    <w:p>
      <w:pPr>
        <w:ind w:left="504"/>
      </w:pPr>
      <w:r>
        <w:rPr>
          <w:b w:val="0"/>
          <w:i/>
        </w:rPr>
        <w:t>Развивающиеся у больных ПБЦ явления билиарной недостаточности, сопровождающиеся нарушением всасывания жирорастворимых витаминов (в том числе витамина D) и кальция, приводят к появлению одного из внепеченочных проявлений заболевания – остеопорозу, с которым по всей видимости связаны тянущие боли в крупных суставах у пациентки. У всех пациентов с холестатическими заболеваниями печени показано применение кальция (1000–1200 мг/сутки) и витамина D (400–800 МЕ/ сутки).</w:t>
        <w:br/>
        <w:br/>
      </w:r>
      <w:hyperlink r:id="rId18">
        <w:r>
          <w:rPr>
            <w:color w:val="0F766E"/>
            <w:u w:val="single"/>
          </w:rPr>
          <w:t>Клинические рекомендации Российской гастроэнтерологической ассоциации и Российского общества по изучению печени по диагностике и лечению холестаза. В. Т. Ивашкин, Е. Н. Широкова, М. В. Маевская, Ч. С. Павлов, О. С. Шифрин, И. В. Маев, А. С. Трухманов</w:t>
        </w:r>
      </w:hyperlink>
      <w:r>
        <w:rPr>
          <w:b w:val="0"/>
          <w:i/>
        </w:rPr>
        <w:br/>
        <w:br/>
      </w:r>
      <w:hyperlink r:id="rId38">
        <w:r>
          <w:rPr>
            <w:color w:val="0F766E"/>
            <w:u w:val="single"/>
          </w:rPr>
          <w:t>(1)</w:t>
        </w:r>
      </w:hyperlink>
    </w:p>
    <w:p>
      <w:r>
        <w:rPr>
          <w:b/>
          <w:color w:val="0F766E"/>
        </w:rPr>
        <w:t>11. Вопрос</w:t>
      </w:r>
    </w:p>
    <w:p>
      <w:r>
        <w:rPr>
          <w:b w:val="0"/>
          <w:i w:val="0"/>
        </w:rPr>
        <w:t>С целью усиления метаболизма аммиака при лечении печеночной энцефалопатии назначают</w:t>
      </w:r>
    </w:p>
    <w:p>
      <w:pPr>
        <w:pStyle w:val="ListBullet"/>
      </w:pPr>
      <w:r>
        <w:rPr>
          <w:b/>
        </w:rPr>
        <w:t xml:space="preserve">1. </w:t>
      </w:r>
      <w:r>
        <w:rPr>
          <w:b w:val="0"/>
          <w:i w:val="0"/>
        </w:rPr>
        <w:t>неомицин</w:t>
      </w:r>
    </w:p>
    <w:p>
      <w:pPr>
        <w:pStyle w:val="ListBullet"/>
      </w:pPr>
      <w:r>
        <w:rPr>
          <w:b/>
        </w:rPr>
        <w:t xml:space="preserve">2. </w:t>
      </w:r>
      <w:r>
        <w:rPr>
          <w:b w:val="0"/>
          <w:i w:val="0"/>
        </w:rPr>
        <w:t>рифаксимин</w:t>
      </w:r>
    </w:p>
    <w:p>
      <w:pPr>
        <w:pStyle w:val="ListBullet"/>
      </w:pPr>
      <w:r>
        <w:rPr>
          <w:b/>
        </w:rPr>
        <w:t xml:space="preserve">3. </w:t>
      </w:r>
      <w:r>
        <w:rPr>
          <w:b w:val="0"/>
          <w:i w:val="0"/>
        </w:rPr>
        <w:t>лактулозу</w:t>
      </w:r>
    </w:p>
    <w:p>
      <w:pPr>
        <w:pStyle w:val="ListBullet"/>
      </w:pPr>
      <w:r>
        <w:rPr>
          <w:b/>
        </w:rPr>
        <w:t xml:space="preserve">4. </w:t>
      </w:r>
      <w:r>
        <w:rPr>
          <w:b/>
          <w:i w:val="0"/>
          <w:color w:val="0F766E"/>
          <w:highlight w:val="yellow"/>
        </w:rPr>
        <w:t>L-орнитин-L-аспартат</w:t>
      </w:r>
    </w:p>
    <w:p>
      <w:pPr>
        <w:ind w:left="288"/>
      </w:pPr>
      <w:r>
        <w:rPr>
          <w:b/>
          <w:color w:val="0F766E"/>
          <w:highlight w:val="yellow"/>
        </w:rPr>
        <w:t xml:space="preserve">Правильный ответ: </w:t>
      </w:r>
      <w:r>
        <w:rPr>
          <w:b/>
          <w:i w:val="0"/>
        </w:rPr>
        <w:t>L-орнитин-L-аспартат</w:t>
      </w:r>
    </w:p>
    <w:p>
      <w:pPr>
        <w:ind w:left="504"/>
      </w:pPr>
      <w:r>
        <w:rPr>
          <w:b w:val="0"/>
          <w:i/>
        </w:rPr>
        <w:t>Орнитин и аспартат играют основную роль в превращении аммиака в мочевину. Орнитин служит стимулятором для одного из основных ферментов в цикле мочевины; аспартат также включается в цикл превращения аммиака и служит субстратом для синтеза глутамина. Таким образом, прием L-орнитин-L-аспартата усиливает метаболизм аммиака, что способствует уменьшению клинических проявлений печеночной энцефалопатии.</w:t>
        <w:br/>
        <w:br/>
      </w:r>
      <w:hyperlink r:id="rId9">
        <w:r>
          <w:rPr>
            <w:color w:val="0F766E"/>
            <w:u w:val="single"/>
          </w:rPr>
          <w:t>Клинические рекомендации Минздрава России. Цирроз и фиброз печени, 2021</w:t>
        </w:r>
      </w:hyperlink>
      <w:r>
        <w:rPr>
          <w:b w:val="0"/>
          <w:i/>
        </w:rPr>
        <w:br/>
        <w:br/>
      </w:r>
      <w:hyperlink r:id="rId39">
        <w:r>
          <w:rPr>
            <w:color w:val="0F766E"/>
            <w:u w:val="single"/>
          </w:rPr>
          <w:t>(1)</w:t>
        </w:r>
      </w:hyperlink>
    </w:p>
    <w:p>
      <w:r>
        <w:rPr>
          <w:b/>
          <w:color w:val="0F766E"/>
        </w:rPr>
        <w:t>12. Вопрос</w:t>
      </w:r>
    </w:p>
    <w:p>
      <w:r>
        <w:rPr>
          <w:b w:val="0"/>
          <w:i w:val="0"/>
        </w:rPr>
        <w:t>Оптимальная тактика ведения при резистентном асците и других осложнениях терминальной стадии данного заболевания предполагает</w:t>
      </w:r>
    </w:p>
    <w:p>
      <w:pPr>
        <w:pStyle w:val="ListBullet"/>
      </w:pPr>
      <w:r>
        <w:rPr>
          <w:b/>
        </w:rPr>
        <w:t xml:space="preserve">1. </w:t>
      </w:r>
      <w:r>
        <w:rPr>
          <w:b w:val="0"/>
          <w:i w:val="0"/>
        </w:rPr>
        <w:t>эндоскопическую склеротерапию варикозно расширенных вен</w:t>
      </w:r>
    </w:p>
    <w:p>
      <w:pPr>
        <w:pStyle w:val="ListBullet"/>
      </w:pPr>
      <w:r>
        <w:rPr>
          <w:b/>
        </w:rPr>
        <w:t xml:space="preserve">2. </w:t>
      </w:r>
      <w:r>
        <w:rPr>
          <w:b/>
          <w:i w:val="0"/>
          <w:color w:val="0F766E"/>
          <w:highlight w:val="yellow"/>
        </w:rPr>
        <w:t>трансплантацию печени</w:t>
      </w:r>
    </w:p>
    <w:p>
      <w:pPr>
        <w:pStyle w:val="ListBullet"/>
      </w:pPr>
      <w:r>
        <w:rPr>
          <w:b/>
        </w:rPr>
        <w:t xml:space="preserve">3. </w:t>
      </w:r>
      <w:r>
        <w:rPr>
          <w:b w:val="0"/>
          <w:i w:val="0"/>
        </w:rPr>
        <w:t>наложение трансъюгулярного портосистемного шунта</w:t>
      </w:r>
    </w:p>
    <w:p>
      <w:pPr>
        <w:pStyle w:val="ListBullet"/>
      </w:pPr>
      <w:r>
        <w:rPr>
          <w:b/>
        </w:rPr>
        <w:t xml:space="preserve">4. </w:t>
      </w:r>
      <w:r>
        <w:rPr>
          <w:b w:val="0"/>
          <w:i w:val="0"/>
        </w:rPr>
        <w:t>повторный абдоминальный парацентез</w:t>
      </w:r>
    </w:p>
    <w:p>
      <w:pPr>
        <w:ind w:left="288"/>
      </w:pPr>
      <w:r>
        <w:rPr>
          <w:b/>
          <w:color w:val="0F766E"/>
          <w:highlight w:val="yellow"/>
        </w:rPr>
        <w:t xml:space="preserve">Правильный ответ: </w:t>
      </w:r>
      <w:r>
        <w:rPr>
          <w:b/>
          <w:i w:val="0"/>
        </w:rPr>
        <w:t>трансплантацию печени</w:t>
      </w:r>
    </w:p>
    <w:p>
      <w:pPr>
        <w:ind w:left="504"/>
      </w:pPr>
      <w:r>
        <w:rPr>
          <w:b w:val="0"/>
          <w:i/>
        </w:rPr>
        <w:t>Трансплантация печени должна обязательно рассматриваться в терминальной стадии ПБЦ, когда уровень билирубина превышает 103 мкмоль/л либо имеет место декомпенсированный цирроз печени с неприемлемым качеством жизни или возможной смертью в течение года вследствие резистентного асцита и спонтанного бактериального перитонита, рецидивирующих кровотечений из варикозно-расширенных вен пищевода, энцефалопатии либо гепатоцеллюлярной карциномы.</w:t>
        <w:br/>
        <w:br/>
      </w:r>
      <w:hyperlink r:id="rId9">
        <w:r>
          <w:rPr>
            <w:color w:val="0F766E"/>
            <w:u w:val="single"/>
          </w:rPr>
          <w:t>Клинические рекомендации Минздрава России. Цирроз и фиброз печени, 2021</w:t>
        </w:r>
      </w:hyperlink>
      <w:r>
        <w:rPr>
          <w:b w:val="0"/>
          <w:i/>
        </w:rPr>
        <w:br/>
        <w:br/>
      </w:r>
      <w:hyperlink r:id="rId40">
        <w:r>
          <w:rPr>
            <w:color w:val="0F766E"/>
            <w:u w:val="single"/>
          </w:rPr>
          <w:t>(1)</w:t>
        </w:r>
      </w:hyperlink>
    </w:p>
    <w:p>
      <w:r>
        <w:drawing>
          <wp:inline xmlns:a="http://schemas.openxmlformats.org/drawingml/2006/main" xmlns:pic="http://schemas.openxmlformats.org/drawingml/2006/picture">
            <wp:extent cx="5303520" cy="3977640"/>
            <wp:docPr id="10" name="Picture 10"/>
            <wp:cNvGraphicFramePr>
              <a:graphicFrameLocks noChangeAspect="1"/>
            </wp:cNvGraphicFramePr>
            <a:graphic>
              <a:graphicData uri="http://schemas.openxmlformats.org/drawingml/2006/picture">
                <pic:pic>
                  <pic:nvPicPr>
                    <pic:cNvPr id="0" name="fef0a7037ae00bb1f0ceaabffe1e28e1587867ea.jpg"/>
                    <pic:cNvPicPr/>
                  </pic:nvPicPr>
                  <pic:blipFill>
                    <a:blip r:embed="rId41"/>
                    <a:stretch>
                      <a:fillRect/>
                    </a:stretch>
                  </pic:blipFill>
                  <pic:spPr>
                    <a:xfrm>
                      <a:off x="0" y="0"/>
                      <a:ext cx="5303520" cy="3977640"/>
                    </a:xfrm>
                    <a:prstGeom prst="rect"/>
                  </pic:spPr>
                </pic:pic>
              </a:graphicData>
            </a:graphic>
          </wp:inline>
        </w:drawing>
      </w:r>
    </w:p>
    <w:p>
      <w:pPr>
        <w:jc w:val="center"/>
      </w:pPr>
      <w:r>
        <w:rPr>
          <w:i/>
        </w:rPr>
        <w:t>Justification</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715/" TargetMode="External"/><Relationship Id="rId10" Type="http://schemas.openxmlformats.org/officeDocument/2006/relationships/hyperlink" Target="https://library.mededtech.ru/rest/documents/KP715/#list_item_dp9jnb" TargetMode="External"/><Relationship Id="rId11" Type="http://schemas.openxmlformats.org/officeDocument/2006/relationships/hyperlink" Target="https://library.mededtech.ru/rest/documents/KP715/#list_item_go232n" TargetMode="External"/><Relationship Id="rId12" Type="http://schemas.openxmlformats.org/officeDocument/2006/relationships/hyperlink" Target="https://library.mededtech.ru/rest/documents/KP715/#list_item_4r3jag" TargetMode="External"/><Relationship Id="rId13" Type="http://schemas.openxmlformats.org/officeDocument/2006/relationships/hyperlink" Target="https://library.mededtech.ru/rest/documents/KP715/#paragraph_odvi11" TargetMode="External"/><Relationship Id="rId14" Type="http://schemas.openxmlformats.org/officeDocument/2006/relationships/hyperlink" Target="https://library.mededtech.ru/rest/documents/KP715/#list_item_6jott7" TargetMode="External"/><Relationship Id="rId15" Type="http://schemas.openxmlformats.org/officeDocument/2006/relationships/image" Target="media/image1.jpg"/><Relationship Id="rId16" Type="http://schemas.openxmlformats.org/officeDocument/2006/relationships/image" Target="media/image2.jpg"/><Relationship Id="rId17" Type="http://schemas.openxmlformats.org/officeDocument/2006/relationships/image" Target="media/image3.jpg"/><Relationship Id="rId18" Type="http://schemas.openxmlformats.org/officeDocument/2006/relationships/hyperlink" Target="https://library.mededtech.ru/rest/documents/R_H_2015_217/" TargetMode="External"/><Relationship Id="rId19" Type="http://schemas.openxmlformats.org/officeDocument/2006/relationships/hyperlink" Target="https://library.mededtech.ru/rest/documents/R_H_2015_217/index.html#list_item_nv0o4" TargetMode="External"/><Relationship Id="rId20" Type="http://schemas.openxmlformats.org/officeDocument/2006/relationships/hyperlink" Target="https://library.mededtech.ru/rest/documents/KP715/#paragraph_tl777l" TargetMode="External"/><Relationship Id="rId21" Type="http://schemas.openxmlformats.org/officeDocument/2006/relationships/hyperlink" Target="https://library.mededtech.ru/rest/documents/KP715/#list_item_7mimu3" TargetMode="External"/><Relationship Id="rId22" Type="http://schemas.openxmlformats.org/officeDocument/2006/relationships/hyperlink" Target="https://library.mededtech.ru/rest/documents/KP715/#list_item_70m52h" TargetMode="External"/><Relationship Id="rId23" Type="http://schemas.openxmlformats.org/officeDocument/2006/relationships/hyperlink" Target="https://library.mededtech.ru/rest/documents/KP715/#list_item_57elkp" TargetMode="External"/><Relationship Id="rId24" Type="http://schemas.openxmlformats.org/officeDocument/2006/relationships/image" Target="media/image4.jpg"/><Relationship Id="rId25" Type="http://schemas.openxmlformats.org/officeDocument/2006/relationships/image" Target="media/image5.jpg"/><Relationship Id="rId26" Type="http://schemas.openxmlformats.org/officeDocument/2006/relationships/image" Target="media/image6.jpg"/><Relationship Id="rId27" Type="http://schemas.openxmlformats.org/officeDocument/2006/relationships/image" Target="media/image7.jpg"/><Relationship Id="rId28" Type="http://schemas.openxmlformats.org/officeDocument/2006/relationships/image" Target="media/image8.jpg"/><Relationship Id="rId29" Type="http://schemas.openxmlformats.org/officeDocument/2006/relationships/hyperlink" Target="https://library.mededtech.ru/rest/documents/KP273_21/" TargetMode="External"/><Relationship Id="rId30" Type="http://schemas.openxmlformats.org/officeDocument/2006/relationships/hyperlink" Target="https://library.mededtech.ru/rest/documents/KP273_21/#list_item_ije29k" TargetMode="External"/><Relationship Id="rId31" Type="http://schemas.openxmlformats.org/officeDocument/2006/relationships/image" Target="media/image9.jpg"/><Relationship Id="rId32" Type="http://schemas.openxmlformats.org/officeDocument/2006/relationships/hyperlink" Target="https://library.mededtech.ru/rest/documents/R_H_2015_217/index.html#paragraph_er2ld" TargetMode="External"/><Relationship Id="rId33" Type="http://schemas.openxmlformats.org/officeDocument/2006/relationships/hyperlink" Target="https://library.mededtech.ru/rest/documents/ISBN9785970444061/?anchor=list_item_gukrvd#list_item_gukrvd" TargetMode="External"/><Relationship Id="rId34" Type="http://schemas.openxmlformats.org/officeDocument/2006/relationships/hyperlink" Target="https://library.mededtech.ru/rest/documents/ISBN9785970444061/?anchor=list_item_o3e4mn#list_item_o3e4mn" TargetMode="External"/><Relationship Id="rId35" Type="http://schemas.openxmlformats.org/officeDocument/2006/relationships/hyperlink" Target="https://library.mededtech.ru/rest/documents/R_H_2015_217/index.html#list_item_59hks" TargetMode="External"/><Relationship Id="rId36" Type="http://schemas.openxmlformats.org/officeDocument/2006/relationships/hyperlink" Target="https://library.mededtech.ru/rest/documents/R_H_2015_217/index.html#paragraph_pvarj" TargetMode="External"/><Relationship Id="rId37" Type="http://schemas.openxmlformats.org/officeDocument/2006/relationships/hyperlink" Target="https://library.mededtech.ru/rest/documents/KP715/#list_item_trin4i" TargetMode="External"/><Relationship Id="rId38" Type="http://schemas.openxmlformats.org/officeDocument/2006/relationships/hyperlink" Target="https://library.mededtech.ru/rest/documents/R_H_2015_217/index.html#list_item_1u5pn" TargetMode="External"/><Relationship Id="rId39" Type="http://schemas.openxmlformats.org/officeDocument/2006/relationships/hyperlink" Target="https://library.mededtech.ru/rest/documents/KP715/#paragraph_lhg211" TargetMode="External"/><Relationship Id="rId40" Type="http://schemas.openxmlformats.org/officeDocument/2006/relationships/hyperlink" Target="https://library.mededtech.ru/rest/documents/KP715/#paragraph_lvhcck" TargetMode="External"/><Relationship Id="rId41" Type="http://schemas.openxmlformats.org/officeDocument/2006/relationships/image" Target="media/image1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